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5.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6.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58D3" w14:textId="5B2BCB96" w:rsidR="0021011A" w:rsidRPr="007314EA" w:rsidRDefault="00D562A1" w:rsidP="0021011A">
      <w:pPr>
        <w:spacing w:line="360" w:lineRule="auto"/>
        <w:ind w:firstLine="720"/>
        <w:jc w:val="center"/>
        <w:rPr>
          <w:rFonts w:ascii="Bookman Old Style" w:hAnsi="Bookman Old Style"/>
        </w:rPr>
      </w:pPr>
      <w:bookmarkStart w:id="0" w:name="_Toc320538853"/>
      <w:bookmarkStart w:id="1" w:name="_Toc257450149"/>
      <w:r w:rsidRPr="00F94B6D">
        <w:rPr>
          <w:rFonts w:ascii="Bahnschrift" w:hAnsi="Bahnschrift"/>
          <w:noProof/>
          <w:lang w:eastAsia="en-GB"/>
        </w:rPr>
        <w:drawing>
          <wp:inline distT="0" distB="0" distL="0" distR="0" wp14:anchorId="2458B64F" wp14:editId="1BA5D171">
            <wp:extent cx="2145665" cy="2063330"/>
            <wp:effectExtent l="0" t="0" r="6985" b="0"/>
            <wp:docPr id="10" name="Picture 10" descr="Coat of arms of Malawi.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Malawi.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695" cy="2074898"/>
                    </a:xfrm>
                    <a:prstGeom prst="rect">
                      <a:avLst/>
                    </a:prstGeom>
                    <a:noFill/>
                    <a:ln>
                      <a:noFill/>
                    </a:ln>
                  </pic:spPr>
                </pic:pic>
              </a:graphicData>
            </a:graphic>
          </wp:inline>
        </w:drawing>
      </w:r>
    </w:p>
    <w:p w14:paraId="23A20B48" w14:textId="77777777" w:rsidR="0021011A" w:rsidRPr="007314EA" w:rsidRDefault="0021011A" w:rsidP="0021011A">
      <w:pPr>
        <w:spacing w:line="360" w:lineRule="auto"/>
        <w:ind w:firstLine="720"/>
        <w:jc w:val="center"/>
        <w:rPr>
          <w:rFonts w:ascii="Bookman Old Style" w:hAnsi="Bookman Old Style"/>
        </w:rPr>
      </w:pPr>
    </w:p>
    <w:p w14:paraId="3EAD7F5B" w14:textId="3A4FF539" w:rsidR="00801943" w:rsidRPr="00801943" w:rsidRDefault="0021011A" w:rsidP="00801943">
      <w:pPr>
        <w:pStyle w:val="xl33"/>
        <w:pBdr>
          <w:top w:val="single" w:sz="18" w:space="1" w:color="auto"/>
          <w:bottom w:val="single" w:sz="18" w:space="1" w:color="auto"/>
        </w:pBdr>
        <w:spacing w:before="0" w:beforeAutospacing="0" w:after="0" w:afterAutospacing="0" w:line="360" w:lineRule="auto"/>
        <w:ind w:firstLine="720"/>
        <w:rPr>
          <w:rFonts w:ascii="Bookman Old Style" w:hAnsi="Bookman Old Style" w:cs="Times New Roman"/>
          <w:b/>
          <w:bCs/>
          <w:sz w:val="40"/>
          <w:szCs w:val="40"/>
        </w:rPr>
      </w:pPr>
      <w:r w:rsidRPr="00801943">
        <w:rPr>
          <w:rFonts w:ascii="Bookman Old Style" w:hAnsi="Bookman Old Style" w:cs="Times New Roman"/>
          <w:b/>
          <w:bCs/>
          <w:sz w:val="40"/>
          <w:szCs w:val="40"/>
        </w:rPr>
        <w:t xml:space="preserve">MINISTRY OF FINANCE </w:t>
      </w:r>
    </w:p>
    <w:p w14:paraId="42BD0BB1" w14:textId="77777777" w:rsidR="0021011A" w:rsidRPr="007314EA" w:rsidRDefault="0021011A" w:rsidP="0021011A">
      <w:pPr>
        <w:spacing w:line="360" w:lineRule="auto"/>
        <w:ind w:firstLine="720"/>
        <w:jc w:val="center"/>
        <w:rPr>
          <w:rFonts w:ascii="Bookman Old Style" w:hAnsi="Bookman Old Style"/>
          <w:b/>
        </w:rPr>
      </w:pPr>
    </w:p>
    <w:p w14:paraId="5FEF7D17" w14:textId="7CC3BDE5" w:rsidR="0021011A" w:rsidRPr="007314EA" w:rsidRDefault="0021011A" w:rsidP="00D562A1">
      <w:pPr>
        <w:tabs>
          <w:tab w:val="left" w:pos="4645"/>
        </w:tabs>
        <w:spacing w:line="360" w:lineRule="auto"/>
        <w:jc w:val="left"/>
        <w:rPr>
          <w:rFonts w:ascii="Bookman Old Style" w:hAnsi="Bookman Old Style"/>
          <w:b/>
        </w:rPr>
      </w:pPr>
    </w:p>
    <w:p w14:paraId="019ED199" w14:textId="77777777" w:rsidR="0021011A" w:rsidRPr="007314EA" w:rsidRDefault="0021011A" w:rsidP="0021011A">
      <w:pPr>
        <w:spacing w:line="360" w:lineRule="auto"/>
        <w:jc w:val="center"/>
        <w:rPr>
          <w:rFonts w:ascii="Bookman Old Style" w:hAnsi="Bookman Old Style"/>
          <w:b/>
        </w:rPr>
      </w:pPr>
    </w:p>
    <w:p w14:paraId="1F079B14" w14:textId="77777777" w:rsidR="00801943" w:rsidRPr="00801943" w:rsidRDefault="0021011A" w:rsidP="00801943">
      <w:pPr>
        <w:spacing w:line="360" w:lineRule="auto"/>
        <w:ind w:left="720"/>
        <w:jc w:val="center"/>
        <w:rPr>
          <w:rFonts w:ascii="Bookman Old Style" w:hAnsi="Bookman Old Style"/>
          <w:b/>
          <w:sz w:val="32"/>
          <w:szCs w:val="32"/>
        </w:rPr>
      </w:pPr>
      <w:r w:rsidRPr="00801943">
        <w:rPr>
          <w:rFonts w:ascii="Bookman Old Style" w:hAnsi="Bookman Old Style"/>
          <w:b/>
          <w:sz w:val="32"/>
          <w:szCs w:val="32"/>
        </w:rPr>
        <w:t>ANNUAL PUBLIC DEBT REPORT</w:t>
      </w:r>
    </w:p>
    <w:p w14:paraId="6E069DE3" w14:textId="5CBE4330" w:rsidR="0021011A" w:rsidRPr="00801943" w:rsidRDefault="0021011A" w:rsidP="00801943">
      <w:pPr>
        <w:spacing w:line="360" w:lineRule="auto"/>
        <w:ind w:left="720"/>
        <w:jc w:val="center"/>
        <w:rPr>
          <w:rFonts w:ascii="Bookman Old Style" w:hAnsi="Bookman Old Style"/>
          <w:b/>
          <w:sz w:val="32"/>
          <w:szCs w:val="32"/>
        </w:rPr>
      </w:pPr>
      <w:r w:rsidRPr="00801943">
        <w:rPr>
          <w:rFonts w:ascii="Bookman Old Style" w:hAnsi="Bookman Old Style"/>
          <w:b/>
          <w:sz w:val="32"/>
          <w:szCs w:val="32"/>
        </w:rPr>
        <w:t xml:space="preserve">2020/2021 </w:t>
      </w:r>
    </w:p>
    <w:p w14:paraId="0EE3FF95" w14:textId="77777777" w:rsidR="0021011A" w:rsidRPr="007314EA" w:rsidRDefault="0021011A" w:rsidP="0021011A">
      <w:pPr>
        <w:spacing w:line="360" w:lineRule="auto"/>
        <w:ind w:firstLine="720"/>
        <w:jc w:val="center"/>
        <w:rPr>
          <w:rFonts w:ascii="Bookman Old Style" w:hAnsi="Bookman Old Style"/>
          <w:b/>
        </w:rPr>
      </w:pPr>
    </w:p>
    <w:p w14:paraId="5BD0C32E" w14:textId="77777777" w:rsidR="0021011A" w:rsidRPr="007314EA" w:rsidRDefault="0021011A" w:rsidP="0021011A">
      <w:pPr>
        <w:spacing w:line="360" w:lineRule="auto"/>
        <w:rPr>
          <w:rFonts w:ascii="Bookman Old Style" w:hAnsi="Bookman Old Style"/>
          <w:b/>
        </w:rPr>
      </w:pPr>
    </w:p>
    <w:p w14:paraId="72AB7D45" w14:textId="77777777" w:rsidR="000C6A54" w:rsidRDefault="000C6A54" w:rsidP="000C6A54">
      <w:pPr>
        <w:pStyle w:val="Default"/>
      </w:pPr>
    </w:p>
    <w:p w14:paraId="42116B36" w14:textId="6A905537" w:rsidR="0021011A" w:rsidRPr="007314EA" w:rsidRDefault="000C6A54" w:rsidP="000C6A54">
      <w:pPr>
        <w:spacing w:line="360" w:lineRule="auto"/>
        <w:ind w:left="720"/>
        <w:jc w:val="center"/>
        <w:rPr>
          <w:rFonts w:ascii="Bookman Old Style" w:hAnsi="Bookman Old Style"/>
          <w:b/>
        </w:rPr>
      </w:pPr>
      <w:r>
        <w:t xml:space="preserve"> </w:t>
      </w:r>
      <w:r w:rsidRPr="000C6A54">
        <w:rPr>
          <w:rFonts w:ascii="Bookman Old Style" w:hAnsi="Bookman Old Style"/>
          <w:b/>
          <w:sz w:val="32"/>
          <w:szCs w:val="32"/>
        </w:rPr>
        <w:t>DEBT AND AID MANAGEMENT DIVISION</w:t>
      </w:r>
    </w:p>
    <w:p w14:paraId="314AC525" w14:textId="77777777" w:rsidR="0021011A" w:rsidRPr="007314EA" w:rsidRDefault="0021011A" w:rsidP="0021011A">
      <w:pPr>
        <w:spacing w:line="360" w:lineRule="auto"/>
        <w:ind w:left="2880" w:firstLine="720"/>
        <w:rPr>
          <w:rFonts w:ascii="Bookman Old Style" w:hAnsi="Bookman Old Style"/>
          <w:b/>
        </w:rPr>
      </w:pPr>
    </w:p>
    <w:p w14:paraId="1C79DDB5" w14:textId="77777777" w:rsidR="0021011A" w:rsidRPr="007314EA" w:rsidRDefault="0021011A" w:rsidP="0021011A">
      <w:pPr>
        <w:spacing w:line="360" w:lineRule="auto"/>
        <w:ind w:left="2880" w:firstLine="720"/>
        <w:rPr>
          <w:rFonts w:ascii="Bookman Old Style" w:hAnsi="Bookman Old Style"/>
          <w:b/>
        </w:rPr>
      </w:pPr>
    </w:p>
    <w:p w14:paraId="0A3B2440" w14:textId="75E19F10" w:rsidR="0021011A" w:rsidRPr="00801943" w:rsidRDefault="0021011A" w:rsidP="00801943">
      <w:pPr>
        <w:spacing w:line="276" w:lineRule="auto"/>
        <w:ind w:left="2880" w:firstLine="720"/>
        <w:rPr>
          <w:rFonts w:ascii="Bookman Old Style" w:hAnsi="Bookman Old Style"/>
          <w:b/>
          <w:sz w:val="44"/>
          <w:szCs w:val="44"/>
        </w:rPr>
      </w:pPr>
    </w:p>
    <w:p w14:paraId="6BA01D19" w14:textId="10501280" w:rsidR="0084462F" w:rsidRPr="00801943" w:rsidRDefault="00801943" w:rsidP="00801943">
      <w:pPr>
        <w:spacing w:line="276" w:lineRule="auto"/>
        <w:jc w:val="left"/>
        <w:rPr>
          <w:rFonts w:ascii="Bookman Old Style" w:hAnsi="Bookman Old Style"/>
          <w:b/>
          <w:sz w:val="44"/>
          <w:szCs w:val="44"/>
        </w:rPr>
      </w:pPr>
      <w:r w:rsidRPr="00801943">
        <w:rPr>
          <w:rFonts w:ascii="Bookman Old Style" w:hAnsi="Bookman Old Style"/>
          <w:b/>
          <w:sz w:val="44"/>
          <w:szCs w:val="44"/>
        </w:rPr>
        <w:t>2021</w:t>
      </w:r>
    </w:p>
    <w:p w14:paraId="20E96673" w14:textId="3FA8F451" w:rsidR="0021011A" w:rsidRDefault="002C7E77" w:rsidP="00801943">
      <w:pPr>
        <w:spacing w:line="276" w:lineRule="auto"/>
        <w:jc w:val="left"/>
        <w:rPr>
          <w:rFonts w:ascii="Bookman Old Style" w:hAnsi="Bookman Old Style"/>
          <w:b/>
          <w:sz w:val="44"/>
          <w:szCs w:val="44"/>
        </w:rPr>
      </w:pPr>
      <w:r w:rsidRPr="00801943">
        <w:rPr>
          <w:rFonts w:ascii="Bookman Old Style" w:hAnsi="Bookman Old Style"/>
          <w:b/>
          <w:sz w:val="44"/>
          <w:szCs w:val="44"/>
        </w:rPr>
        <w:t xml:space="preserve">NOVEMBER </w:t>
      </w:r>
    </w:p>
    <w:p w14:paraId="4FB1AE14" w14:textId="77777777" w:rsidR="00AE539B" w:rsidRPr="00801943" w:rsidRDefault="00AE539B" w:rsidP="00801943">
      <w:pPr>
        <w:spacing w:line="276" w:lineRule="auto"/>
        <w:jc w:val="left"/>
        <w:rPr>
          <w:rFonts w:ascii="Bookman Old Style" w:hAnsi="Bookman Old Style"/>
          <w:b/>
          <w:sz w:val="44"/>
          <w:szCs w:val="44"/>
        </w:rPr>
      </w:pPr>
    </w:p>
    <w:p w14:paraId="5E114BB7" w14:textId="5FD397D6" w:rsidR="0084462F" w:rsidRDefault="0084462F" w:rsidP="00801943">
      <w:pPr>
        <w:spacing w:line="360" w:lineRule="auto"/>
        <w:rPr>
          <w:rFonts w:ascii="Bookman Old Style" w:hAnsi="Bookman Old Style"/>
          <w:b/>
        </w:rPr>
      </w:pPr>
    </w:p>
    <w:p w14:paraId="2A19A1DA" w14:textId="34FDB488" w:rsidR="002D51DC" w:rsidRPr="005F30C0" w:rsidRDefault="002D51DC" w:rsidP="002D51DC">
      <w:pPr>
        <w:pStyle w:val="Heading1"/>
      </w:pPr>
      <w:bookmarkStart w:id="2" w:name="_Toc88660825"/>
      <w:r>
        <w:lastRenderedPageBreak/>
        <w:t>CONTENTS</w:t>
      </w:r>
      <w:bookmarkEnd w:id="2"/>
    </w:p>
    <w:p w14:paraId="5374E8F9" w14:textId="77777777" w:rsidR="002D51DC" w:rsidRDefault="002D51DC" w:rsidP="00801943">
      <w:pPr>
        <w:spacing w:line="360" w:lineRule="auto"/>
        <w:rPr>
          <w:rFonts w:ascii="Bookman Old Style" w:hAnsi="Bookman Old Style"/>
          <w:b/>
        </w:rPr>
      </w:pPr>
    </w:p>
    <w:sdt>
      <w:sdtPr>
        <w:rPr>
          <w:b w:val="0"/>
          <w:bCs w:val="0"/>
          <w:caps w:val="0"/>
          <w:smallCaps/>
          <w:sz w:val="24"/>
        </w:rPr>
        <w:id w:val="1489670937"/>
        <w:docPartObj>
          <w:docPartGallery w:val="Table of Contents"/>
          <w:docPartUnique/>
        </w:docPartObj>
      </w:sdtPr>
      <w:sdtEndPr>
        <w:rPr>
          <w:noProof/>
          <w:sz w:val="20"/>
        </w:rPr>
      </w:sdtEndPr>
      <w:sdtContent>
        <w:p w14:paraId="0E4986CB" w14:textId="14769434" w:rsidR="00F4148E" w:rsidRPr="00F4148E" w:rsidRDefault="0021011A">
          <w:pPr>
            <w:pStyle w:val="TOC1"/>
            <w:rPr>
              <w:rFonts w:ascii="Bookman Old Style" w:eastAsiaTheme="minorEastAsia" w:hAnsi="Bookman Old Style" w:cstheme="minorBidi"/>
              <w:b w:val="0"/>
              <w:bCs w:val="0"/>
              <w:caps w:val="0"/>
              <w:noProof/>
              <w:sz w:val="22"/>
              <w:szCs w:val="22"/>
              <w:lang w:eastAsia="en-GB"/>
            </w:rPr>
          </w:pPr>
          <w:r w:rsidRPr="002D51DC">
            <w:rPr>
              <w:rStyle w:val="Hyperlink"/>
              <w:noProof/>
            </w:rPr>
            <w:fldChar w:fldCharType="begin"/>
          </w:r>
          <w:r w:rsidRPr="002D51DC">
            <w:rPr>
              <w:rStyle w:val="Hyperlink"/>
              <w:noProof/>
            </w:rPr>
            <w:instrText xml:space="preserve"> TOC \o "1-3" \h \z \u </w:instrText>
          </w:r>
          <w:r w:rsidRPr="002D51DC">
            <w:rPr>
              <w:rStyle w:val="Hyperlink"/>
              <w:noProof/>
            </w:rPr>
            <w:fldChar w:fldCharType="separate"/>
          </w:r>
          <w:hyperlink w:anchor="_Toc88660825" w:history="1">
            <w:r w:rsidR="00F4148E" w:rsidRPr="00F4148E">
              <w:rPr>
                <w:rStyle w:val="Hyperlink"/>
                <w:rFonts w:ascii="Bookman Old Style" w:hAnsi="Bookman Old Style"/>
                <w:noProof/>
              </w:rPr>
              <w:t>CONTENTS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_Toc88660825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w:t>
            </w:r>
            <w:r w:rsidR="00F4148E" w:rsidRPr="00F4148E">
              <w:rPr>
                <w:rFonts w:ascii="Bookman Old Style" w:hAnsi="Bookman Old Style"/>
                <w:noProof/>
                <w:webHidden/>
              </w:rPr>
              <w:fldChar w:fldCharType="end"/>
            </w:r>
          </w:hyperlink>
        </w:p>
        <w:p w14:paraId="35C4DF5B" w14:textId="04CCDFC1"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26" w:history="1">
            <w:r w:rsidR="00F4148E" w:rsidRPr="00F4148E">
              <w:rPr>
                <w:rStyle w:val="Hyperlink"/>
                <w:rFonts w:ascii="Bookman Old Style" w:hAnsi="Bookman Old Style"/>
                <w:noProof/>
              </w:rPr>
              <w:t>TABLES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_Toc88660826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3</w:t>
            </w:r>
            <w:r w:rsidR="00F4148E" w:rsidRPr="00F4148E">
              <w:rPr>
                <w:rFonts w:ascii="Bookman Old Style" w:hAnsi="Bookman Old Style"/>
                <w:noProof/>
                <w:webHidden/>
              </w:rPr>
              <w:fldChar w:fldCharType="end"/>
            </w:r>
          </w:hyperlink>
        </w:p>
        <w:p w14:paraId="5CB97615" w14:textId="0EE6FAAF"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27" w:history="1">
            <w:r w:rsidR="00F4148E" w:rsidRPr="00F4148E">
              <w:rPr>
                <w:rStyle w:val="Hyperlink"/>
                <w:rFonts w:ascii="Bookman Old Style" w:hAnsi="Bookman Old Style"/>
                <w:noProof/>
              </w:rPr>
              <w:t>FIGURES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_Toc88660827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3</w:t>
            </w:r>
            <w:r w:rsidR="00F4148E" w:rsidRPr="00F4148E">
              <w:rPr>
                <w:rFonts w:ascii="Bookman Old Style" w:hAnsi="Bookman Old Style"/>
                <w:noProof/>
                <w:webHidden/>
              </w:rPr>
              <w:fldChar w:fldCharType="end"/>
            </w:r>
          </w:hyperlink>
        </w:p>
        <w:p w14:paraId="51F3DD2B" w14:textId="003E9C89"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28" w:history="1">
            <w:r w:rsidR="00F4148E" w:rsidRPr="00F4148E">
              <w:rPr>
                <w:rStyle w:val="Hyperlink"/>
                <w:rFonts w:ascii="Bookman Old Style" w:hAnsi="Bookman Old Style"/>
                <w:noProof/>
              </w:rPr>
              <w:t>ANNEX</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_Toc88660828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w:t>
            </w:r>
            <w:r w:rsidR="00F4148E" w:rsidRPr="00F4148E">
              <w:rPr>
                <w:rFonts w:ascii="Bookman Old Style" w:hAnsi="Bookman Old Style"/>
                <w:noProof/>
                <w:webHidden/>
              </w:rPr>
              <w:fldChar w:fldCharType="end"/>
            </w:r>
          </w:hyperlink>
        </w:p>
        <w:p w14:paraId="137896C9" w14:textId="330B6FE4"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29" w:history="1">
            <w:r w:rsidR="00F4148E" w:rsidRPr="00F4148E">
              <w:rPr>
                <w:rStyle w:val="Hyperlink"/>
                <w:rFonts w:ascii="Bookman Old Style" w:hAnsi="Bookman Old Style"/>
                <w:noProof/>
              </w:rPr>
              <w:t>EXECUTIVE SUMMARY</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_Toc88660829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4</w:t>
            </w:r>
            <w:r w:rsidR="00F4148E" w:rsidRPr="00F4148E">
              <w:rPr>
                <w:rFonts w:ascii="Bookman Old Style" w:hAnsi="Bookman Old Style"/>
                <w:noProof/>
                <w:webHidden/>
              </w:rPr>
              <w:fldChar w:fldCharType="end"/>
            </w:r>
          </w:hyperlink>
        </w:p>
        <w:p w14:paraId="143D6088" w14:textId="47B53B5A"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30" w:history="1">
            <w:r w:rsidR="00F4148E" w:rsidRPr="00F4148E">
              <w:rPr>
                <w:rStyle w:val="Hyperlink"/>
                <w:rFonts w:ascii="Bookman Old Style" w:hAnsi="Bookman Old Style"/>
                <w:noProof/>
              </w:rPr>
              <w:t>PREFACE</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_Toc88660830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6</w:t>
            </w:r>
            <w:r w:rsidR="00F4148E" w:rsidRPr="00F4148E">
              <w:rPr>
                <w:rFonts w:ascii="Bookman Old Style" w:hAnsi="Bookman Old Style"/>
                <w:noProof/>
                <w:webHidden/>
              </w:rPr>
              <w:fldChar w:fldCharType="end"/>
            </w:r>
          </w:hyperlink>
        </w:p>
        <w:p w14:paraId="11AD0E23" w14:textId="795CC0F1"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31" w:history="1">
            <w:r w:rsidR="00F4148E" w:rsidRPr="00F4148E">
              <w:rPr>
                <w:rStyle w:val="Hyperlink"/>
                <w:rFonts w:ascii="Bookman Old Style" w:hAnsi="Bookman Old Style"/>
                <w:noProof/>
              </w:rPr>
              <w:t>ACCRONYMS AND ABBREVIATIONS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_Toc88660831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8</w:t>
            </w:r>
            <w:r w:rsidR="00F4148E" w:rsidRPr="00F4148E">
              <w:rPr>
                <w:rFonts w:ascii="Bookman Old Style" w:hAnsi="Bookman Old Style"/>
                <w:noProof/>
                <w:webHidden/>
              </w:rPr>
              <w:fldChar w:fldCharType="end"/>
            </w:r>
          </w:hyperlink>
        </w:p>
        <w:p w14:paraId="37040831" w14:textId="480A9C12"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32" w:history="1">
            <w:r w:rsidR="00F4148E" w:rsidRPr="00F4148E">
              <w:rPr>
                <w:rStyle w:val="Hyperlink"/>
                <w:rFonts w:ascii="Bookman Old Style" w:hAnsi="Bookman Old Style"/>
                <w:noProof/>
              </w:rPr>
              <w:t>SECTION I: RECENT PUBLIC DEBT MANAGEMENT OPERATIONS ISSUES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_Toc88660832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9</w:t>
            </w:r>
            <w:r w:rsidR="00F4148E" w:rsidRPr="00F4148E">
              <w:rPr>
                <w:rFonts w:ascii="Bookman Old Style" w:hAnsi="Bookman Old Style"/>
                <w:noProof/>
                <w:webHidden/>
              </w:rPr>
              <w:fldChar w:fldCharType="end"/>
            </w:r>
          </w:hyperlink>
        </w:p>
        <w:p w14:paraId="30BB1179" w14:textId="06D340E2" w:rsidR="00F4148E" w:rsidRPr="00F4148E" w:rsidRDefault="0064265F">
          <w:pPr>
            <w:pStyle w:val="TOC2"/>
            <w:tabs>
              <w:tab w:val="left" w:pos="880"/>
              <w:tab w:val="right" w:leader="dot" w:pos="8296"/>
            </w:tabs>
            <w:rPr>
              <w:rFonts w:ascii="Bookman Old Style" w:eastAsiaTheme="minorEastAsia" w:hAnsi="Bookman Old Style" w:cstheme="minorBidi"/>
              <w:smallCaps w:val="0"/>
              <w:noProof/>
              <w:sz w:val="22"/>
              <w:szCs w:val="22"/>
              <w:lang w:eastAsia="en-GB"/>
            </w:rPr>
          </w:pPr>
          <w:hyperlink w:anchor="_Toc88660833" w:history="1">
            <w:r w:rsidR="00F4148E" w:rsidRPr="00F4148E">
              <w:rPr>
                <w:rStyle w:val="Hyperlink"/>
                <w:rFonts w:ascii="Bookman Old Style" w:hAnsi="Bookman Old Style"/>
                <w:noProof/>
                <w:lang w:val="en-US"/>
              </w:rPr>
              <w:t>1.1</w:t>
            </w:r>
            <w:r w:rsidR="00F4148E" w:rsidRPr="00F4148E">
              <w:rPr>
                <w:rFonts w:ascii="Bookman Old Style" w:eastAsiaTheme="minorEastAsia" w:hAnsi="Bookman Old Style" w:cstheme="minorBidi"/>
                <w:smallCaps w:val="0"/>
                <w:noProof/>
                <w:sz w:val="22"/>
                <w:szCs w:val="22"/>
                <w:lang w:eastAsia="en-GB"/>
              </w:rPr>
              <w:t xml:space="preserve"> </w:t>
            </w:r>
            <w:r w:rsidR="00F4148E" w:rsidRPr="00F4148E">
              <w:rPr>
                <w:rStyle w:val="Hyperlink"/>
                <w:rFonts w:ascii="Bookman Old Style" w:hAnsi="Bookman Old Style"/>
                <w:noProof/>
                <w:lang w:val="en-US"/>
              </w:rPr>
              <w:t>Debt Management Policy Objective</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_Toc88660833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9</w:t>
            </w:r>
            <w:r w:rsidR="00F4148E" w:rsidRPr="00F4148E">
              <w:rPr>
                <w:rFonts w:ascii="Bookman Old Style" w:hAnsi="Bookman Old Style"/>
                <w:noProof/>
                <w:webHidden/>
              </w:rPr>
              <w:fldChar w:fldCharType="end"/>
            </w:r>
          </w:hyperlink>
        </w:p>
        <w:p w14:paraId="139A2859" w14:textId="74554798"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34" w:history="1">
            <w:r w:rsidR="00F4148E" w:rsidRPr="00F4148E">
              <w:rPr>
                <w:rStyle w:val="Hyperlink"/>
                <w:rFonts w:ascii="Bookman Old Style" w:hAnsi="Bookman Old Style"/>
                <w:noProof/>
                <w:lang w:val="en-US"/>
              </w:rPr>
              <w:t xml:space="preserve">1.2 </w:t>
            </w:r>
            <w:r w:rsidR="00F4148E" w:rsidRPr="00F4148E">
              <w:rPr>
                <w:rStyle w:val="Hyperlink"/>
                <w:rFonts w:ascii="Bookman Old Style" w:hAnsi="Bookman Old Style"/>
                <w:noProof/>
              </w:rPr>
              <w:t>Macro-economic Developments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_Toc88660834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9</w:t>
            </w:r>
            <w:r w:rsidR="00F4148E" w:rsidRPr="00F4148E">
              <w:rPr>
                <w:rFonts w:ascii="Bookman Old Style" w:hAnsi="Bookman Old Style"/>
                <w:noProof/>
                <w:webHidden/>
              </w:rPr>
              <w:fldChar w:fldCharType="end"/>
            </w:r>
          </w:hyperlink>
        </w:p>
        <w:p w14:paraId="1C0AAC8F" w14:textId="096B28FD"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35" w:history="1">
            <w:r w:rsidR="00F4148E" w:rsidRPr="00F4148E">
              <w:rPr>
                <w:rStyle w:val="Hyperlink"/>
                <w:rFonts w:ascii="Bookman Old Style" w:hAnsi="Bookman Old Style"/>
                <w:noProof/>
                <w:lang w:val="en-US"/>
              </w:rPr>
              <w:t>1.3 Medium-Term Debt Management Strategy</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_Toc88660835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10</w:t>
            </w:r>
            <w:r w:rsidR="00F4148E" w:rsidRPr="00F4148E">
              <w:rPr>
                <w:rFonts w:ascii="Bookman Old Style" w:hAnsi="Bookman Old Style"/>
                <w:noProof/>
                <w:webHidden/>
              </w:rPr>
              <w:fldChar w:fldCharType="end"/>
            </w:r>
          </w:hyperlink>
        </w:p>
        <w:p w14:paraId="608AB5B3" w14:textId="59FE328F"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36" w:history="1">
            <w:r w:rsidR="00F4148E" w:rsidRPr="00F4148E">
              <w:rPr>
                <w:rStyle w:val="Hyperlink"/>
                <w:rFonts w:ascii="Bookman Old Style" w:hAnsi="Bookman Old Style"/>
                <w:noProof/>
                <w:lang w:val="en-US"/>
              </w:rPr>
              <w:t xml:space="preserve">1.4 </w:t>
            </w:r>
            <w:r w:rsidR="00F4148E" w:rsidRPr="00F4148E">
              <w:rPr>
                <w:rStyle w:val="Hyperlink"/>
                <w:rFonts w:ascii="Bookman Old Style" w:hAnsi="Bookman Old Style"/>
                <w:noProof/>
              </w:rPr>
              <w:t>Newly</w:t>
            </w:r>
            <w:r w:rsidR="00F4148E" w:rsidRPr="00F4148E">
              <w:rPr>
                <w:rStyle w:val="Hyperlink"/>
                <w:rFonts w:ascii="Bookman Old Style" w:hAnsi="Bookman Old Style"/>
                <w:noProof/>
                <w:lang w:val="en-US"/>
              </w:rPr>
              <w:t xml:space="preserve"> Signed Loans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_Toc88660836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11</w:t>
            </w:r>
            <w:r w:rsidR="00F4148E" w:rsidRPr="00F4148E">
              <w:rPr>
                <w:rFonts w:ascii="Bookman Old Style" w:hAnsi="Bookman Old Style"/>
                <w:noProof/>
                <w:webHidden/>
              </w:rPr>
              <w:fldChar w:fldCharType="end"/>
            </w:r>
          </w:hyperlink>
        </w:p>
        <w:p w14:paraId="4469865E" w14:textId="2E51E7F0"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37" w:history="1">
            <w:r w:rsidR="00F4148E" w:rsidRPr="00F4148E">
              <w:rPr>
                <w:rStyle w:val="Hyperlink"/>
                <w:rFonts w:ascii="Bookman Old Style" w:hAnsi="Bookman Old Style"/>
                <w:noProof/>
              </w:rPr>
              <w:t>1.5 Communication and Investor Awareness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_Toc88660837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11</w:t>
            </w:r>
            <w:r w:rsidR="00F4148E" w:rsidRPr="00F4148E">
              <w:rPr>
                <w:rFonts w:ascii="Bookman Old Style" w:hAnsi="Bookman Old Style"/>
                <w:noProof/>
                <w:webHidden/>
              </w:rPr>
              <w:fldChar w:fldCharType="end"/>
            </w:r>
          </w:hyperlink>
        </w:p>
        <w:p w14:paraId="1F54A508" w14:textId="651FDE76"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38" w:history="1">
            <w:r w:rsidR="00F4148E" w:rsidRPr="00F4148E">
              <w:rPr>
                <w:rStyle w:val="Hyperlink"/>
                <w:rFonts w:ascii="Bookman Old Style" w:hAnsi="Bookman Old Style"/>
                <w:noProof/>
              </w:rPr>
              <w:t>1.6 Performance of Debt Securities Issuance Calendar</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_Toc88660838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12</w:t>
            </w:r>
            <w:r w:rsidR="00F4148E" w:rsidRPr="00F4148E">
              <w:rPr>
                <w:rFonts w:ascii="Bookman Old Style" w:hAnsi="Bookman Old Style"/>
                <w:noProof/>
                <w:webHidden/>
              </w:rPr>
              <w:fldChar w:fldCharType="end"/>
            </w:r>
          </w:hyperlink>
        </w:p>
        <w:p w14:paraId="0D4BF86E" w14:textId="0E93CDD3"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39" w:history="1">
            <w:r w:rsidR="00F4148E" w:rsidRPr="00F4148E">
              <w:rPr>
                <w:rStyle w:val="Hyperlink"/>
                <w:rFonts w:ascii="Bookman Old Style" w:hAnsi="Bookman Old Style"/>
                <w:noProof/>
              </w:rPr>
              <w:t>1.7 Decomposition of Public Debt Drivers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_Toc88660839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12</w:t>
            </w:r>
            <w:r w:rsidR="00F4148E" w:rsidRPr="00F4148E">
              <w:rPr>
                <w:rFonts w:ascii="Bookman Old Style" w:hAnsi="Bookman Old Style"/>
                <w:noProof/>
                <w:webHidden/>
              </w:rPr>
              <w:fldChar w:fldCharType="end"/>
            </w:r>
          </w:hyperlink>
        </w:p>
        <w:p w14:paraId="3686433E" w14:textId="101E9549"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0" w:history="1">
            <w:r w:rsidR="00F4148E" w:rsidRPr="00F4148E">
              <w:rPr>
                <w:rStyle w:val="Hyperlink"/>
                <w:rFonts w:ascii="Bookman Old Style" w:hAnsi="Bookman Old Style"/>
                <w:noProof/>
              </w:rPr>
              <w:t>1.8 Interest Payments burden</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_Toc88660840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13</w:t>
            </w:r>
            <w:r w:rsidR="00F4148E" w:rsidRPr="00F4148E">
              <w:rPr>
                <w:rFonts w:ascii="Bookman Old Style" w:hAnsi="Bookman Old Style"/>
                <w:noProof/>
                <w:webHidden/>
              </w:rPr>
              <w:fldChar w:fldCharType="end"/>
            </w:r>
          </w:hyperlink>
        </w:p>
        <w:p w14:paraId="57CE6C9A" w14:textId="5E9FDE0B"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41" w:history="1">
            <w:r w:rsidR="00F4148E" w:rsidRPr="00F4148E">
              <w:rPr>
                <w:rStyle w:val="Hyperlink"/>
                <w:rFonts w:ascii="Bookman Old Style" w:hAnsi="Bookman Old Style"/>
                <w:noProof/>
              </w:rPr>
              <w:t>SECTION II:  TOTAL PUBLIC DEBT PORTFOLIO AS AT 30 JUNE 2021</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_Toc88660841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15</w:t>
            </w:r>
            <w:r w:rsidR="00F4148E" w:rsidRPr="00F4148E">
              <w:rPr>
                <w:rFonts w:ascii="Bookman Old Style" w:hAnsi="Bookman Old Style"/>
                <w:noProof/>
                <w:webHidden/>
              </w:rPr>
              <w:fldChar w:fldCharType="end"/>
            </w:r>
          </w:hyperlink>
        </w:p>
        <w:p w14:paraId="252929F0" w14:textId="0F9BAA6B"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2" w:history="1">
            <w:r w:rsidR="00F4148E" w:rsidRPr="00F4148E">
              <w:rPr>
                <w:rStyle w:val="Hyperlink"/>
                <w:rFonts w:ascii="Bookman Old Style" w:hAnsi="Bookman Old Style"/>
                <w:noProof/>
                <w:lang w:val="en-US"/>
              </w:rPr>
              <w:t xml:space="preserve">2.1 </w:t>
            </w:r>
            <w:r w:rsidR="00F4148E" w:rsidRPr="00F4148E">
              <w:rPr>
                <w:rStyle w:val="Hyperlink"/>
                <w:rFonts w:ascii="Bookman Old Style" w:hAnsi="Bookman Old Style"/>
                <w:noProof/>
              </w:rPr>
              <w:t>Composition</w:t>
            </w:r>
            <w:r w:rsidR="00F4148E" w:rsidRPr="00F4148E">
              <w:rPr>
                <w:rStyle w:val="Hyperlink"/>
                <w:rFonts w:ascii="Bookman Old Style" w:hAnsi="Bookman Old Style"/>
                <w:noProof/>
                <w:lang w:val="en-US"/>
              </w:rPr>
              <w:t xml:space="preserve"> </w:t>
            </w:r>
            <w:r w:rsidR="00F4148E" w:rsidRPr="00F4148E">
              <w:rPr>
                <w:rStyle w:val="Hyperlink"/>
                <w:rFonts w:ascii="Bookman Old Style" w:hAnsi="Bookman Old Style"/>
                <w:noProof/>
              </w:rPr>
              <w:t>of</w:t>
            </w:r>
            <w:r w:rsidR="00F4148E" w:rsidRPr="00F4148E">
              <w:rPr>
                <w:rStyle w:val="Hyperlink"/>
                <w:rFonts w:ascii="Bookman Old Style" w:hAnsi="Bookman Old Style"/>
                <w:noProof/>
                <w:lang w:val="en-US"/>
              </w:rPr>
              <w:t xml:space="preserve"> Total Public Debt</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_Toc88660842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15</w:t>
            </w:r>
            <w:r w:rsidR="00F4148E" w:rsidRPr="00F4148E">
              <w:rPr>
                <w:rFonts w:ascii="Bookman Old Style" w:hAnsi="Bookman Old Style"/>
                <w:noProof/>
                <w:webHidden/>
              </w:rPr>
              <w:fldChar w:fldCharType="end"/>
            </w:r>
          </w:hyperlink>
        </w:p>
        <w:p w14:paraId="373A956F" w14:textId="3C552C32"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3" w:history="1">
            <w:r w:rsidR="00F4148E" w:rsidRPr="00F4148E">
              <w:rPr>
                <w:rStyle w:val="Hyperlink"/>
                <w:rFonts w:ascii="Bookman Old Style" w:hAnsi="Bookman Old Style"/>
                <w:noProof/>
              </w:rPr>
              <w:t>2.2 Analysis of Interest rates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_Toc88660843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16</w:t>
            </w:r>
            <w:r w:rsidR="00F4148E" w:rsidRPr="00F4148E">
              <w:rPr>
                <w:rFonts w:ascii="Bookman Old Style" w:hAnsi="Bookman Old Style"/>
                <w:noProof/>
                <w:webHidden/>
              </w:rPr>
              <w:fldChar w:fldCharType="end"/>
            </w:r>
          </w:hyperlink>
        </w:p>
        <w:p w14:paraId="5D839478" w14:textId="07E59E2E"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4" w:history="1">
            <w:r w:rsidR="00F4148E" w:rsidRPr="00F4148E">
              <w:rPr>
                <w:rStyle w:val="Hyperlink"/>
                <w:rFonts w:ascii="Bookman Old Style" w:hAnsi="Bookman Old Style"/>
                <w:noProof/>
              </w:rPr>
              <w:t>2.3 Treasury Securities Yield Curve</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_Toc88660844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16</w:t>
            </w:r>
            <w:r w:rsidR="00F4148E" w:rsidRPr="00F4148E">
              <w:rPr>
                <w:rFonts w:ascii="Bookman Old Style" w:hAnsi="Bookman Old Style"/>
                <w:noProof/>
                <w:webHidden/>
              </w:rPr>
              <w:fldChar w:fldCharType="end"/>
            </w:r>
          </w:hyperlink>
        </w:p>
        <w:p w14:paraId="1BE3B4EF" w14:textId="76B0F216"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5" w:history="1">
            <w:r w:rsidR="00F4148E" w:rsidRPr="00F4148E">
              <w:rPr>
                <w:rStyle w:val="Hyperlink"/>
                <w:rFonts w:ascii="Bookman Old Style" w:hAnsi="Bookman Old Style"/>
                <w:noProof/>
              </w:rPr>
              <w:t>2.4 Debt Flows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_Toc88660845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17</w:t>
            </w:r>
            <w:r w:rsidR="00F4148E" w:rsidRPr="00F4148E">
              <w:rPr>
                <w:rFonts w:ascii="Bookman Old Style" w:hAnsi="Bookman Old Style"/>
                <w:noProof/>
                <w:webHidden/>
              </w:rPr>
              <w:fldChar w:fldCharType="end"/>
            </w:r>
          </w:hyperlink>
        </w:p>
        <w:p w14:paraId="09A0F989" w14:textId="3C1C76B5"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46" w:history="1">
            <w:r w:rsidR="00F4148E" w:rsidRPr="00F4148E">
              <w:rPr>
                <w:rStyle w:val="Hyperlink"/>
                <w:rFonts w:ascii="Bookman Old Style" w:hAnsi="Bookman Old Style"/>
                <w:noProof/>
              </w:rPr>
              <w:t>SECTION III:  EXTERNAL PUBLIC DEBT PORTFOLIO REVIEW</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_Toc88660846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18</w:t>
            </w:r>
            <w:r w:rsidR="00F4148E" w:rsidRPr="00F4148E">
              <w:rPr>
                <w:rFonts w:ascii="Bookman Old Style" w:hAnsi="Bookman Old Style"/>
                <w:noProof/>
                <w:webHidden/>
              </w:rPr>
              <w:fldChar w:fldCharType="end"/>
            </w:r>
          </w:hyperlink>
        </w:p>
        <w:p w14:paraId="7F91C5E5" w14:textId="2413568D"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7" w:history="1">
            <w:r w:rsidR="00F4148E" w:rsidRPr="00F4148E">
              <w:rPr>
                <w:rStyle w:val="Hyperlink"/>
                <w:rFonts w:ascii="Bookman Old Style" w:hAnsi="Bookman Old Style"/>
                <w:noProof/>
              </w:rPr>
              <w:t>3.1 External Debt by Holder</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_Toc88660847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18</w:t>
            </w:r>
            <w:r w:rsidR="00F4148E" w:rsidRPr="00F4148E">
              <w:rPr>
                <w:rFonts w:ascii="Bookman Old Style" w:hAnsi="Bookman Old Style"/>
                <w:noProof/>
                <w:webHidden/>
              </w:rPr>
              <w:fldChar w:fldCharType="end"/>
            </w:r>
          </w:hyperlink>
        </w:p>
        <w:p w14:paraId="1661ED30" w14:textId="440E3B3A"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8" w:history="1">
            <w:r w:rsidR="00F4148E" w:rsidRPr="00F4148E">
              <w:rPr>
                <w:rStyle w:val="Hyperlink"/>
                <w:rFonts w:ascii="Bookman Old Style" w:hAnsi="Bookman Old Style"/>
                <w:noProof/>
              </w:rPr>
              <w:t>3.2 External Debt by Creditor Category</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_Toc88660848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20</w:t>
            </w:r>
            <w:r w:rsidR="00F4148E" w:rsidRPr="00F4148E">
              <w:rPr>
                <w:rFonts w:ascii="Bookman Old Style" w:hAnsi="Bookman Old Style"/>
                <w:noProof/>
                <w:webHidden/>
              </w:rPr>
              <w:fldChar w:fldCharType="end"/>
            </w:r>
          </w:hyperlink>
        </w:p>
        <w:p w14:paraId="45D4FBD1" w14:textId="1B9321CD"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49" w:history="1">
            <w:r w:rsidR="00F4148E" w:rsidRPr="00F4148E">
              <w:rPr>
                <w:rStyle w:val="Hyperlink"/>
                <w:rFonts w:ascii="Bookman Old Style" w:hAnsi="Bookman Old Style"/>
                <w:noProof/>
              </w:rPr>
              <w:t>3.3 External Debt by Creditor</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_Toc88660849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19</w:t>
            </w:r>
            <w:r w:rsidR="00F4148E" w:rsidRPr="00F4148E">
              <w:rPr>
                <w:rFonts w:ascii="Bookman Old Style" w:hAnsi="Bookman Old Style"/>
                <w:noProof/>
                <w:webHidden/>
              </w:rPr>
              <w:fldChar w:fldCharType="end"/>
            </w:r>
          </w:hyperlink>
        </w:p>
        <w:p w14:paraId="16CD4F4E" w14:textId="51507D39"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0" w:history="1">
            <w:r w:rsidR="00F4148E" w:rsidRPr="00F4148E">
              <w:rPr>
                <w:rStyle w:val="Hyperlink"/>
                <w:rFonts w:ascii="Bookman Old Style" w:hAnsi="Bookman Old Style"/>
                <w:noProof/>
              </w:rPr>
              <w:t>3.4 External Public Debt by Currency</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_Toc88660850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20</w:t>
            </w:r>
            <w:r w:rsidR="00F4148E" w:rsidRPr="00F4148E">
              <w:rPr>
                <w:rFonts w:ascii="Bookman Old Style" w:hAnsi="Bookman Old Style"/>
                <w:noProof/>
                <w:webHidden/>
              </w:rPr>
              <w:fldChar w:fldCharType="end"/>
            </w:r>
          </w:hyperlink>
        </w:p>
        <w:p w14:paraId="5D6816A9" w14:textId="28902AA2"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51" w:history="1">
            <w:r w:rsidR="00F4148E" w:rsidRPr="00F4148E">
              <w:rPr>
                <w:rStyle w:val="Hyperlink"/>
                <w:rFonts w:ascii="Bookman Old Style" w:hAnsi="Bookman Old Style"/>
                <w:noProof/>
              </w:rPr>
              <w:t>SECTION IV:  DOMESTIC PUBLIC DEBT PORTFOLIO REVIEW</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_Toc88660851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21</w:t>
            </w:r>
            <w:r w:rsidR="00F4148E" w:rsidRPr="00F4148E">
              <w:rPr>
                <w:rFonts w:ascii="Bookman Old Style" w:hAnsi="Bookman Old Style"/>
                <w:noProof/>
                <w:webHidden/>
              </w:rPr>
              <w:fldChar w:fldCharType="end"/>
            </w:r>
          </w:hyperlink>
        </w:p>
        <w:p w14:paraId="7D3A3B7D" w14:textId="168BC983"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2" w:history="1">
            <w:r w:rsidR="00F4148E" w:rsidRPr="00F4148E">
              <w:rPr>
                <w:rStyle w:val="Hyperlink"/>
                <w:rFonts w:ascii="Bookman Old Style" w:hAnsi="Bookman Old Style"/>
                <w:noProof/>
              </w:rPr>
              <w:t>4.1 Domestic Debt by Instrument</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_Toc88660852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21</w:t>
            </w:r>
            <w:r w:rsidR="00F4148E" w:rsidRPr="00F4148E">
              <w:rPr>
                <w:rFonts w:ascii="Bookman Old Style" w:hAnsi="Bookman Old Style"/>
                <w:noProof/>
                <w:webHidden/>
              </w:rPr>
              <w:fldChar w:fldCharType="end"/>
            </w:r>
          </w:hyperlink>
        </w:p>
        <w:p w14:paraId="3E093268" w14:textId="23AB6C28"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3" w:history="1">
            <w:r w:rsidR="00F4148E" w:rsidRPr="00F4148E">
              <w:rPr>
                <w:rStyle w:val="Hyperlink"/>
                <w:rFonts w:ascii="Bookman Old Style" w:hAnsi="Bookman Old Style"/>
                <w:noProof/>
              </w:rPr>
              <w:t>4.2 Domestic Debt by Holder</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_Toc88660853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21</w:t>
            </w:r>
            <w:r w:rsidR="00F4148E" w:rsidRPr="00F4148E">
              <w:rPr>
                <w:rFonts w:ascii="Bookman Old Style" w:hAnsi="Bookman Old Style"/>
                <w:noProof/>
                <w:webHidden/>
              </w:rPr>
              <w:fldChar w:fldCharType="end"/>
            </w:r>
          </w:hyperlink>
        </w:p>
        <w:p w14:paraId="01DF8D56" w14:textId="5D8BBDE5"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4" w:history="1">
            <w:r w:rsidR="00F4148E" w:rsidRPr="00F4148E">
              <w:rPr>
                <w:rStyle w:val="Hyperlink"/>
                <w:rFonts w:ascii="Bookman Old Style" w:hAnsi="Bookman Old Style"/>
                <w:noProof/>
              </w:rPr>
              <w:t>4.3 Domestic Contingent Liabilities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_Toc88660854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22</w:t>
            </w:r>
            <w:r w:rsidR="00F4148E" w:rsidRPr="00F4148E">
              <w:rPr>
                <w:rFonts w:ascii="Bookman Old Style" w:hAnsi="Bookman Old Style"/>
                <w:noProof/>
                <w:webHidden/>
              </w:rPr>
              <w:fldChar w:fldCharType="end"/>
            </w:r>
          </w:hyperlink>
        </w:p>
        <w:p w14:paraId="783DCFA4" w14:textId="1D880BED" w:rsidR="00F4148E" w:rsidRPr="00F4148E" w:rsidRDefault="0064265F">
          <w:pPr>
            <w:pStyle w:val="TOC1"/>
            <w:rPr>
              <w:rFonts w:ascii="Bookman Old Style" w:eastAsiaTheme="minorEastAsia" w:hAnsi="Bookman Old Style" w:cstheme="minorBidi"/>
              <w:b w:val="0"/>
              <w:bCs w:val="0"/>
              <w:caps w:val="0"/>
              <w:noProof/>
              <w:sz w:val="22"/>
              <w:szCs w:val="22"/>
              <w:lang w:eastAsia="en-GB"/>
            </w:rPr>
          </w:pPr>
          <w:hyperlink w:anchor="_Toc88660855" w:history="1">
            <w:r w:rsidR="00F4148E" w:rsidRPr="00F4148E">
              <w:rPr>
                <w:rStyle w:val="Hyperlink"/>
                <w:rFonts w:ascii="Bookman Old Style" w:hAnsi="Bookman Old Style"/>
                <w:noProof/>
              </w:rPr>
              <w:t>SECTION V:  RISK AND COST ANALYSIS</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_Toc88660855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24</w:t>
            </w:r>
            <w:r w:rsidR="00F4148E" w:rsidRPr="00F4148E">
              <w:rPr>
                <w:rFonts w:ascii="Bookman Old Style" w:hAnsi="Bookman Old Style"/>
                <w:noProof/>
                <w:webHidden/>
              </w:rPr>
              <w:fldChar w:fldCharType="end"/>
            </w:r>
          </w:hyperlink>
        </w:p>
        <w:p w14:paraId="7653B7A5" w14:textId="7B303B02"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6" w:history="1">
            <w:r w:rsidR="00F4148E" w:rsidRPr="00F4148E">
              <w:rPr>
                <w:rStyle w:val="Hyperlink"/>
                <w:rFonts w:ascii="Bookman Old Style" w:hAnsi="Bookman Old Style"/>
                <w:noProof/>
              </w:rPr>
              <w:t>5.1 Refinancing Risk Analysis using Redemption Profile</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_Toc88660856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24</w:t>
            </w:r>
            <w:r w:rsidR="00F4148E" w:rsidRPr="00F4148E">
              <w:rPr>
                <w:rFonts w:ascii="Bookman Old Style" w:hAnsi="Bookman Old Style"/>
                <w:noProof/>
                <w:webHidden/>
              </w:rPr>
              <w:fldChar w:fldCharType="end"/>
            </w:r>
          </w:hyperlink>
        </w:p>
        <w:p w14:paraId="04B92975" w14:textId="3FE0209F"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7" w:history="1">
            <w:r w:rsidR="00F4148E" w:rsidRPr="00F4148E">
              <w:rPr>
                <w:rStyle w:val="Hyperlink"/>
                <w:rFonts w:ascii="Bookman Old Style" w:hAnsi="Bookman Old Style"/>
                <w:noProof/>
              </w:rPr>
              <w:t>5.2 Refinancing Risk Using Average Time Maturity</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_Toc88660857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25</w:t>
            </w:r>
            <w:r w:rsidR="00F4148E" w:rsidRPr="00F4148E">
              <w:rPr>
                <w:rFonts w:ascii="Bookman Old Style" w:hAnsi="Bookman Old Style"/>
                <w:noProof/>
                <w:webHidden/>
              </w:rPr>
              <w:fldChar w:fldCharType="end"/>
            </w:r>
          </w:hyperlink>
        </w:p>
        <w:p w14:paraId="4E78325D" w14:textId="682DF992"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8" w:history="1">
            <w:r w:rsidR="00F4148E" w:rsidRPr="00F4148E">
              <w:rPr>
                <w:rStyle w:val="Hyperlink"/>
                <w:rFonts w:ascii="Bookman Old Style" w:hAnsi="Bookman Old Style"/>
                <w:noProof/>
              </w:rPr>
              <w:t>5.3 Interest Rate Risk</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_Toc88660858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25</w:t>
            </w:r>
            <w:r w:rsidR="00F4148E" w:rsidRPr="00F4148E">
              <w:rPr>
                <w:rFonts w:ascii="Bookman Old Style" w:hAnsi="Bookman Old Style"/>
                <w:noProof/>
                <w:webHidden/>
              </w:rPr>
              <w:fldChar w:fldCharType="end"/>
            </w:r>
          </w:hyperlink>
        </w:p>
        <w:p w14:paraId="7430F0D9" w14:textId="26ED4785" w:rsidR="00F4148E" w:rsidRPr="00F4148E" w:rsidRDefault="0064265F">
          <w:pPr>
            <w:pStyle w:val="TOC2"/>
            <w:tabs>
              <w:tab w:val="right" w:leader="dot" w:pos="8296"/>
            </w:tabs>
            <w:rPr>
              <w:rFonts w:ascii="Bookman Old Style" w:eastAsiaTheme="minorEastAsia" w:hAnsi="Bookman Old Style" w:cstheme="minorBidi"/>
              <w:smallCaps w:val="0"/>
              <w:noProof/>
              <w:sz w:val="22"/>
              <w:szCs w:val="22"/>
              <w:lang w:eastAsia="en-GB"/>
            </w:rPr>
          </w:pPr>
          <w:hyperlink w:anchor="_Toc88660859" w:history="1">
            <w:r w:rsidR="00F4148E" w:rsidRPr="00F4148E">
              <w:rPr>
                <w:rStyle w:val="Hyperlink"/>
                <w:rFonts w:ascii="Bookman Old Style" w:hAnsi="Bookman Old Style"/>
                <w:noProof/>
                <w:lang w:val="en-AU"/>
              </w:rPr>
              <w:t>5.4 Exchange Rate Risk</w:t>
            </w:r>
            <w:r w:rsidR="00F4148E" w:rsidRPr="00F4148E">
              <w:rPr>
                <w:rFonts w:ascii="Bookman Old Style" w:hAnsi="Bookman Old Style"/>
                <w:noProof/>
                <w:webHidden/>
              </w:rPr>
              <w:tab/>
            </w:r>
            <w:r w:rsidR="00F4148E" w:rsidRPr="00F4148E">
              <w:rPr>
                <w:rFonts w:ascii="Bookman Old Style" w:hAnsi="Bookman Old Style"/>
                <w:noProof/>
                <w:webHidden/>
              </w:rPr>
              <w:fldChar w:fldCharType="begin"/>
            </w:r>
            <w:r w:rsidR="00F4148E" w:rsidRPr="00F4148E">
              <w:rPr>
                <w:rFonts w:ascii="Bookman Old Style" w:hAnsi="Bookman Old Style"/>
                <w:noProof/>
                <w:webHidden/>
              </w:rPr>
              <w:instrText xml:space="preserve"> PAGEREF _Toc88660859 \h </w:instrText>
            </w:r>
            <w:r w:rsidR="00F4148E" w:rsidRPr="00F4148E">
              <w:rPr>
                <w:rFonts w:ascii="Bookman Old Style" w:hAnsi="Bookman Old Style"/>
                <w:noProof/>
                <w:webHidden/>
              </w:rPr>
            </w:r>
            <w:r w:rsidR="00F4148E" w:rsidRPr="00F4148E">
              <w:rPr>
                <w:rFonts w:ascii="Bookman Old Style" w:hAnsi="Bookman Old Style"/>
                <w:noProof/>
                <w:webHidden/>
              </w:rPr>
              <w:fldChar w:fldCharType="separate"/>
            </w:r>
            <w:r w:rsidR="007221FA">
              <w:rPr>
                <w:rFonts w:ascii="Bookman Old Style" w:hAnsi="Bookman Old Style"/>
                <w:noProof/>
                <w:webHidden/>
              </w:rPr>
              <w:t>25</w:t>
            </w:r>
            <w:r w:rsidR="00F4148E" w:rsidRPr="00F4148E">
              <w:rPr>
                <w:rFonts w:ascii="Bookman Old Style" w:hAnsi="Bookman Old Style"/>
                <w:noProof/>
                <w:webHidden/>
              </w:rPr>
              <w:fldChar w:fldCharType="end"/>
            </w:r>
          </w:hyperlink>
        </w:p>
        <w:p w14:paraId="162EAD5F" w14:textId="44861257" w:rsidR="005F30C0" w:rsidRPr="005F30C0" w:rsidRDefault="0021011A" w:rsidP="002D51DC">
          <w:pPr>
            <w:pStyle w:val="TOC2"/>
            <w:tabs>
              <w:tab w:val="right" w:leader="dot" w:pos="8296"/>
            </w:tabs>
            <w:rPr>
              <w:rFonts w:ascii="Bookman Old Style" w:hAnsi="Bookman Old Style"/>
            </w:rPr>
          </w:pPr>
          <w:r w:rsidRPr="002D51DC">
            <w:rPr>
              <w:rStyle w:val="Hyperlink"/>
            </w:rPr>
            <w:fldChar w:fldCharType="end"/>
          </w:r>
        </w:p>
      </w:sdtContent>
    </w:sdt>
    <w:p w14:paraId="37275C85" w14:textId="6B712A4F" w:rsidR="005F30C0" w:rsidRDefault="005F30C0" w:rsidP="00130A51">
      <w:pPr>
        <w:pStyle w:val="Heading1"/>
      </w:pPr>
    </w:p>
    <w:p w14:paraId="6F71196C" w14:textId="2826A8C3" w:rsidR="0008504B" w:rsidRDefault="0008504B" w:rsidP="0008504B"/>
    <w:p w14:paraId="3034BE09" w14:textId="77777777" w:rsidR="0008504B" w:rsidRPr="00424209" w:rsidRDefault="0008504B" w:rsidP="0008504B">
      <w:pPr>
        <w:pStyle w:val="TOC2"/>
        <w:tabs>
          <w:tab w:val="right" w:leader="dot" w:pos="8296"/>
        </w:tabs>
        <w:rPr>
          <w:rStyle w:val="Hyperlink"/>
          <w:noProof/>
        </w:rPr>
      </w:pPr>
    </w:p>
    <w:p w14:paraId="726B2939" w14:textId="77777777" w:rsidR="0008504B" w:rsidRPr="005F30C0" w:rsidRDefault="0008504B" w:rsidP="0008504B">
      <w:pPr>
        <w:pStyle w:val="Heading1"/>
      </w:pPr>
      <w:r w:rsidRPr="005F30C0">
        <w:t xml:space="preserve"> </w:t>
      </w:r>
      <w:bookmarkStart w:id="3" w:name="_Toc88660828"/>
      <w:r w:rsidRPr="005F30C0">
        <w:t>ANNEX</w:t>
      </w:r>
      <w:bookmarkEnd w:id="3"/>
    </w:p>
    <w:p w14:paraId="14195444" w14:textId="61A4895A" w:rsidR="0008504B" w:rsidRPr="00F4148E" w:rsidRDefault="0008504B" w:rsidP="0008504B">
      <w:pPr>
        <w:pStyle w:val="TOC2"/>
        <w:tabs>
          <w:tab w:val="right" w:leader="dot" w:pos="8296"/>
        </w:tabs>
        <w:rPr>
          <w:rStyle w:val="Hyperlink"/>
          <w:rFonts w:ascii="Bookman Old Style" w:hAnsi="Bookman Old Style"/>
          <w:noProof/>
        </w:rPr>
      </w:pPr>
      <w:r w:rsidRPr="005F30C0">
        <w:rPr>
          <w:rStyle w:val="Hyperlink"/>
          <w:rFonts w:ascii="Bookman Old Style" w:hAnsi="Bookman Old Style"/>
          <w:noProof/>
        </w:rPr>
        <w:fldChar w:fldCharType="begin"/>
      </w:r>
      <w:r w:rsidRPr="005F30C0">
        <w:rPr>
          <w:rStyle w:val="Hyperlink"/>
          <w:rFonts w:ascii="Bookman Old Style" w:hAnsi="Bookman Old Style"/>
          <w:noProof/>
        </w:rPr>
        <w:instrText xml:space="preserve"> TOC \h \z \c "Annex" </w:instrText>
      </w:r>
      <w:r w:rsidRPr="005F30C0">
        <w:rPr>
          <w:rStyle w:val="Hyperlink"/>
          <w:rFonts w:ascii="Bookman Old Style" w:hAnsi="Bookman Old Style"/>
          <w:noProof/>
        </w:rPr>
        <w:fldChar w:fldCharType="separate"/>
      </w:r>
      <w:hyperlink w:anchor="_Toc88660963" w:history="1">
        <w:r w:rsidRPr="00CB0D6F">
          <w:rPr>
            <w:rStyle w:val="Hyperlink"/>
            <w:rFonts w:ascii="Bookman Old Style" w:hAnsi="Bookman Old Style"/>
            <w:noProof/>
          </w:rPr>
          <w:t>Annex 1: Newly Signed Loans as at end-June 2021</w:t>
        </w:r>
        <w:r w:rsidRPr="00F4148E">
          <w:rPr>
            <w:rStyle w:val="Hyperlink"/>
            <w:rFonts w:ascii="Bookman Old Style" w:hAnsi="Bookman Old Style"/>
            <w:noProof/>
            <w:webHidden/>
          </w:rPr>
          <w:tab/>
        </w:r>
        <w:r w:rsidRPr="00F4148E">
          <w:rPr>
            <w:rStyle w:val="Hyperlink"/>
            <w:rFonts w:ascii="Bookman Old Style" w:hAnsi="Bookman Old Style"/>
            <w:noProof/>
            <w:webHidden/>
          </w:rPr>
          <w:fldChar w:fldCharType="begin"/>
        </w:r>
        <w:r w:rsidRPr="00F4148E">
          <w:rPr>
            <w:rStyle w:val="Hyperlink"/>
            <w:rFonts w:ascii="Bookman Old Style" w:hAnsi="Bookman Old Style"/>
            <w:noProof/>
            <w:webHidden/>
          </w:rPr>
          <w:instrText xml:space="preserve"> PAGEREF _Toc88660963 \h </w:instrText>
        </w:r>
        <w:r w:rsidRPr="00F4148E">
          <w:rPr>
            <w:rStyle w:val="Hyperlink"/>
            <w:rFonts w:ascii="Bookman Old Style" w:hAnsi="Bookman Old Style"/>
            <w:noProof/>
            <w:webHidden/>
          </w:rPr>
        </w:r>
        <w:r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27</w:t>
        </w:r>
        <w:r w:rsidRPr="00F4148E">
          <w:rPr>
            <w:rStyle w:val="Hyperlink"/>
            <w:rFonts w:ascii="Bookman Old Style" w:hAnsi="Bookman Old Style"/>
            <w:noProof/>
            <w:webHidden/>
          </w:rPr>
          <w:fldChar w:fldCharType="end"/>
        </w:r>
      </w:hyperlink>
    </w:p>
    <w:p w14:paraId="2AC25F30" w14:textId="55EA0CEA" w:rsidR="0008504B" w:rsidRPr="00F4148E" w:rsidRDefault="0064265F" w:rsidP="0008504B">
      <w:pPr>
        <w:pStyle w:val="TOC2"/>
        <w:tabs>
          <w:tab w:val="right" w:leader="dot" w:pos="8296"/>
        </w:tabs>
        <w:rPr>
          <w:rStyle w:val="Hyperlink"/>
          <w:rFonts w:ascii="Bookman Old Style" w:hAnsi="Bookman Old Style"/>
          <w:noProof/>
        </w:rPr>
      </w:pPr>
      <w:hyperlink w:anchor="_Toc88660964" w:history="1">
        <w:r w:rsidR="0008504B" w:rsidRPr="00CB0D6F">
          <w:rPr>
            <w:rStyle w:val="Hyperlink"/>
            <w:rFonts w:ascii="Bookman Old Style" w:hAnsi="Bookman Old Style"/>
            <w:noProof/>
          </w:rPr>
          <w:t>Annex 2: Loan Guarantees as at end-June 2021</w:t>
        </w:r>
        <w:r w:rsidR="0008504B" w:rsidRPr="00F4148E">
          <w:rPr>
            <w:rStyle w:val="Hyperlink"/>
            <w:rFonts w:ascii="Bookman Old Style" w:hAnsi="Bookman Old Style"/>
            <w:noProof/>
            <w:webHidden/>
          </w:rPr>
          <w:tab/>
        </w:r>
        <w:r w:rsidR="0008504B" w:rsidRPr="00F4148E">
          <w:rPr>
            <w:rStyle w:val="Hyperlink"/>
            <w:rFonts w:ascii="Bookman Old Style" w:hAnsi="Bookman Old Style"/>
            <w:noProof/>
            <w:webHidden/>
          </w:rPr>
          <w:fldChar w:fldCharType="begin"/>
        </w:r>
        <w:r w:rsidR="0008504B" w:rsidRPr="00F4148E">
          <w:rPr>
            <w:rStyle w:val="Hyperlink"/>
            <w:rFonts w:ascii="Bookman Old Style" w:hAnsi="Bookman Old Style"/>
            <w:noProof/>
            <w:webHidden/>
          </w:rPr>
          <w:instrText xml:space="preserve"> PAGEREF _Toc88660964 \h </w:instrText>
        </w:r>
        <w:r w:rsidR="0008504B" w:rsidRPr="00F4148E">
          <w:rPr>
            <w:rStyle w:val="Hyperlink"/>
            <w:rFonts w:ascii="Bookman Old Style" w:hAnsi="Bookman Old Style"/>
            <w:noProof/>
            <w:webHidden/>
          </w:rPr>
        </w:r>
        <w:r w:rsidR="0008504B"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29</w:t>
        </w:r>
        <w:r w:rsidR="0008504B" w:rsidRPr="00F4148E">
          <w:rPr>
            <w:rStyle w:val="Hyperlink"/>
            <w:rFonts w:ascii="Bookman Old Style" w:hAnsi="Bookman Old Style"/>
            <w:noProof/>
            <w:webHidden/>
          </w:rPr>
          <w:fldChar w:fldCharType="end"/>
        </w:r>
      </w:hyperlink>
    </w:p>
    <w:p w14:paraId="7DCA8DE6" w14:textId="77777777" w:rsidR="0008504B" w:rsidRPr="005F30C0" w:rsidRDefault="0008504B" w:rsidP="0008504B">
      <w:pPr>
        <w:pStyle w:val="TOC2"/>
        <w:tabs>
          <w:tab w:val="right" w:leader="dot" w:pos="8296"/>
        </w:tabs>
        <w:rPr>
          <w:rFonts w:ascii="Bookman Old Style" w:hAnsi="Bookman Old Style"/>
          <w:b/>
          <w:sz w:val="28"/>
        </w:rPr>
      </w:pPr>
      <w:r w:rsidRPr="005F30C0">
        <w:rPr>
          <w:rStyle w:val="Hyperlink"/>
          <w:rFonts w:ascii="Bookman Old Style" w:hAnsi="Bookman Old Style"/>
          <w:noProof/>
        </w:rPr>
        <w:fldChar w:fldCharType="end"/>
      </w:r>
    </w:p>
    <w:p w14:paraId="6E250BB1" w14:textId="77777777" w:rsidR="0008504B" w:rsidRPr="0008504B" w:rsidRDefault="0008504B" w:rsidP="0008504B"/>
    <w:p w14:paraId="10A44C73" w14:textId="0C6F8F7D" w:rsidR="00D60510" w:rsidRPr="00701064" w:rsidRDefault="003D69D8" w:rsidP="00701064">
      <w:pPr>
        <w:pStyle w:val="Heading1"/>
      </w:pPr>
      <w:bookmarkStart w:id="4" w:name="_Toc88660826"/>
      <w:r w:rsidRPr="00701064">
        <w:lastRenderedPageBreak/>
        <w:t>TABLES</w:t>
      </w:r>
      <w:bookmarkEnd w:id="4"/>
    </w:p>
    <w:p w14:paraId="7D2CF9EB" w14:textId="5DA45196" w:rsidR="00F4148E" w:rsidRPr="00F4148E" w:rsidRDefault="0084462F" w:rsidP="00F4148E">
      <w:pPr>
        <w:pStyle w:val="TOC2"/>
        <w:tabs>
          <w:tab w:val="right" w:leader="dot" w:pos="8296"/>
        </w:tabs>
        <w:rPr>
          <w:rStyle w:val="Hyperlink"/>
          <w:noProof/>
        </w:rPr>
      </w:pPr>
      <w:r w:rsidRPr="00F4148E">
        <w:rPr>
          <w:rStyle w:val="Hyperlink"/>
          <w:rFonts w:ascii="Bookman Old Style" w:hAnsi="Bookman Old Style"/>
          <w:noProof/>
        </w:rPr>
        <w:fldChar w:fldCharType="begin"/>
      </w:r>
      <w:r w:rsidRPr="00F4148E">
        <w:rPr>
          <w:rStyle w:val="Hyperlink"/>
          <w:rFonts w:ascii="Bookman Old Style" w:hAnsi="Bookman Old Style"/>
          <w:noProof/>
        </w:rPr>
        <w:instrText xml:space="preserve"> TOC \h \z \c "Table" </w:instrText>
      </w:r>
      <w:r w:rsidRPr="00F4148E">
        <w:rPr>
          <w:rStyle w:val="Hyperlink"/>
          <w:rFonts w:ascii="Bookman Old Style" w:hAnsi="Bookman Old Style"/>
          <w:noProof/>
        </w:rPr>
        <w:fldChar w:fldCharType="separate"/>
      </w:r>
      <w:hyperlink w:anchor="_Toc88660887" w:history="1">
        <w:r w:rsidR="00F4148E" w:rsidRPr="00F4148E">
          <w:rPr>
            <w:rStyle w:val="Hyperlink"/>
            <w:rFonts w:ascii="Bookman Old Style" w:hAnsi="Bookman Old Style"/>
            <w:noProof/>
          </w:rPr>
          <w:t>Table 2: Evolution of Public Debt (in Millions)</w:t>
        </w:r>
        <w:r w:rsidR="00F4148E" w:rsidRPr="00F4148E">
          <w:rPr>
            <w:rStyle w:val="Hyperlink"/>
            <w:noProof/>
            <w:webHidden/>
          </w:rPr>
          <w:tab/>
        </w:r>
        <w:r w:rsidR="00F4148E" w:rsidRPr="00F4148E">
          <w:rPr>
            <w:rStyle w:val="Hyperlink"/>
            <w:noProof/>
            <w:webHidden/>
          </w:rPr>
          <w:fldChar w:fldCharType="begin"/>
        </w:r>
        <w:r w:rsidR="00F4148E" w:rsidRPr="00F4148E">
          <w:rPr>
            <w:rStyle w:val="Hyperlink"/>
            <w:noProof/>
            <w:webHidden/>
          </w:rPr>
          <w:instrText xml:space="preserve"> PAGEREF _Toc88660887 \h </w:instrText>
        </w:r>
        <w:r w:rsidR="00F4148E" w:rsidRPr="00F4148E">
          <w:rPr>
            <w:rStyle w:val="Hyperlink"/>
            <w:noProof/>
            <w:webHidden/>
          </w:rPr>
        </w:r>
        <w:r w:rsidR="00F4148E" w:rsidRPr="00F4148E">
          <w:rPr>
            <w:rStyle w:val="Hyperlink"/>
            <w:noProof/>
            <w:webHidden/>
          </w:rPr>
          <w:fldChar w:fldCharType="separate"/>
        </w:r>
        <w:r w:rsidR="00AE539B">
          <w:rPr>
            <w:rStyle w:val="Hyperlink"/>
            <w:noProof/>
            <w:webHidden/>
          </w:rPr>
          <w:t>15</w:t>
        </w:r>
        <w:r w:rsidR="00F4148E" w:rsidRPr="00F4148E">
          <w:rPr>
            <w:rStyle w:val="Hyperlink"/>
            <w:noProof/>
            <w:webHidden/>
          </w:rPr>
          <w:fldChar w:fldCharType="end"/>
        </w:r>
      </w:hyperlink>
    </w:p>
    <w:p w14:paraId="417CA395" w14:textId="4FE837C8" w:rsidR="00F4148E" w:rsidRPr="00F4148E" w:rsidRDefault="0064265F" w:rsidP="00F4148E">
      <w:pPr>
        <w:pStyle w:val="TOC2"/>
        <w:tabs>
          <w:tab w:val="right" w:leader="dot" w:pos="8296"/>
        </w:tabs>
        <w:rPr>
          <w:rStyle w:val="Hyperlink"/>
          <w:noProof/>
        </w:rPr>
      </w:pPr>
      <w:hyperlink w:anchor="_Toc88660888" w:history="1">
        <w:r w:rsidR="00F4148E" w:rsidRPr="00F4148E">
          <w:rPr>
            <w:rStyle w:val="Hyperlink"/>
            <w:rFonts w:ascii="Bookman Old Style" w:hAnsi="Bookman Old Style"/>
            <w:noProof/>
          </w:rPr>
          <w:t>Table 3: Implied Interest Rates</w:t>
        </w:r>
        <w:r w:rsidR="00F4148E" w:rsidRPr="00F4148E">
          <w:rPr>
            <w:rStyle w:val="Hyperlink"/>
            <w:noProof/>
            <w:webHidden/>
          </w:rPr>
          <w:tab/>
        </w:r>
        <w:r w:rsidR="00F4148E" w:rsidRPr="00F4148E">
          <w:rPr>
            <w:rStyle w:val="Hyperlink"/>
            <w:noProof/>
            <w:webHidden/>
          </w:rPr>
          <w:fldChar w:fldCharType="begin"/>
        </w:r>
        <w:r w:rsidR="00F4148E" w:rsidRPr="00F4148E">
          <w:rPr>
            <w:rStyle w:val="Hyperlink"/>
            <w:noProof/>
            <w:webHidden/>
          </w:rPr>
          <w:instrText xml:space="preserve"> PAGEREF _Toc88660888 \h </w:instrText>
        </w:r>
        <w:r w:rsidR="00F4148E" w:rsidRPr="00F4148E">
          <w:rPr>
            <w:rStyle w:val="Hyperlink"/>
            <w:noProof/>
            <w:webHidden/>
          </w:rPr>
        </w:r>
        <w:r w:rsidR="00F4148E" w:rsidRPr="00F4148E">
          <w:rPr>
            <w:rStyle w:val="Hyperlink"/>
            <w:noProof/>
            <w:webHidden/>
          </w:rPr>
          <w:fldChar w:fldCharType="separate"/>
        </w:r>
        <w:r w:rsidR="00AE539B">
          <w:rPr>
            <w:rStyle w:val="Hyperlink"/>
            <w:noProof/>
            <w:webHidden/>
          </w:rPr>
          <w:t>16</w:t>
        </w:r>
        <w:r w:rsidR="00F4148E" w:rsidRPr="00F4148E">
          <w:rPr>
            <w:rStyle w:val="Hyperlink"/>
            <w:noProof/>
            <w:webHidden/>
          </w:rPr>
          <w:fldChar w:fldCharType="end"/>
        </w:r>
      </w:hyperlink>
    </w:p>
    <w:p w14:paraId="659C64AB" w14:textId="5A1E3437" w:rsidR="00F4148E" w:rsidRPr="00F4148E" w:rsidRDefault="0064265F" w:rsidP="00F4148E">
      <w:pPr>
        <w:pStyle w:val="TOC2"/>
        <w:tabs>
          <w:tab w:val="right" w:leader="dot" w:pos="8296"/>
        </w:tabs>
        <w:rPr>
          <w:rStyle w:val="Hyperlink"/>
          <w:noProof/>
        </w:rPr>
      </w:pPr>
      <w:hyperlink w:anchor="_Toc88660889" w:history="1">
        <w:r w:rsidR="00F4148E" w:rsidRPr="00F4148E">
          <w:rPr>
            <w:rStyle w:val="Hyperlink"/>
            <w:rFonts w:ascii="Bookman Old Style" w:hAnsi="Bookman Old Style"/>
            <w:noProof/>
          </w:rPr>
          <w:t>Table 4: External Debt Stock, by Holder (USD Million) as at end-June 2020 and 2021</w:t>
        </w:r>
        <w:r w:rsidR="00F4148E" w:rsidRPr="00F4148E">
          <w:rPr>
            <w:rStyle w:val="Hyperlink"/>
            <w:noProof/>
            <w:webHidden/>
          </w:rPr>
          <w:tab/>
        </w:r>
        <w:r w:rsidR="00F4148E" w:rsidRPr="00F4148E">
          <w:rPr>
            <w:rStyle w:val="Hyperlink"/>
            <w:noProof/>
            <w:webHidden/>
          </w:rPr>
          <w:fldChar w:fldCharType="begin"/>
        </w:r>
        <w:r w:rsidR="00F4148E" w:rsidRPr="00F4148E">
          <w:rPr>
            <w:rStyle w:val="Hyperlink"/>
            <w:noProof/>
            <w:webHidden/>
          </w:rPr>
          <w:instrText xml:space="preserve"> PAGEREF _Toc88660889 \h </w:instrText>
        </w:r>
        <w:r w:rsidR="00F4148E" w:rsidRPr="00F4148E">
          <w:rPr>
            <w:rStyle w:val="Hyperlink"/>
            <w:noProof/>
            <w:webHidden/>
          </w:rPr>
        </w:r>
        <w:r w:rsidR="00F4148E" w:rsidRPr="00F4148E">
          <w:rPr>
            <w:rStyle w:val="Hyperlink"/>
            <w:noProof/>
            <w:webHidden/>
          </w:rPr>
          <w:fldChar w:fldCharType="separate"/>
        </w:r>
        <w:r w:rsidR="00AE539B">
          <w:rPr>
            <w:rStyle w:val="Hyperlink"/>
            <w:noProof/>
            <w:webHidden/>
          </w:rPr>
          <w:t>18</w:t>
        </w:r>
        <w:r w:rsidR="00F4148E" w:rsidRPr="00F4148E">
          <w:rPr>
            <w:rStyle w:val="Hyperlink"/>
            <w:noProof/>
            <w:webHidden/>
          </w:rPr>
          <w:fldChar w:fldCharType="end"/>
        </w:r>
      </w:hyperlink>
    </w:p>
    <w:p w14:paraId="3BCED049" w14:textId="50C2DC88" w:rsidR="00F4148E" w:rsidRPr="00F4148E" w:rsidRDefault="0064265F" w:rsidP="00F4148E">
      <w:pPr>
        <w:pStyle w:val="TOC2"/>
        <w:tabs>
          <w:tab w:val="right" w:leader="dot" w:pos="8296"/>
        </w:tabs>
        <w:rPr>
          <w:rStyle w:val="Hyperlink"/>
          <w:noProof/>
        </w:rPr>
      </w:pPr>
      <w:hyperlink w:anchor="_Toc88660890" w:history="1">
        <w:r w:rsidR="00F4148E" w:rsidRPr="00F4148E">
          <w:rPr>
            <w:rStyle w:val="Hyperlink"/>
            <w:rFonts w:ascii="Bookman Old Style" w:hAnsi="Bookman Old Style"/>
            <w:noProof/>
          </w:rPr>
          <w:t>Table 5: Total Ex</w:t>
        </w:r>
        <w:r w:rsidR="00F4148E" w:rsidRPr="00F4148E">
          <w:rPr>
            <w:rStyle w:val="Hyperlink"/>
            <w:rFonts w:ascii="Bookman Old Style" w:hAnsi="Bookman Old Style"/>
            <w:noProof/>
          </w:rPr>
          <w:t>t</w:t>
        </w:r>
        <w:r w:rsidR="00F4148E" w:rsidRPr="00F4148E">
          <w:rPr>
            <w:rStyle w:val="Hyperlink"/>
            <w:rFonts w:ascii="Bookman Old Style" w:hAnsi="Bookman Old Style"/>
            <w:noProof/>
          </w:rPr>
          <w:t>ernal Debt Stock, by Creditor and Creditor Category as at end-June 2020 and 2021</w:t>
        </w:r>
        <w:r w:rsidR="00F4148E" w:rsidRPr="00F4148E">
          <w:rPr>
            <w:rStyle w:val="Hyperlink"/>
            <w:noProof/>
            <w:webHidden/>
          </w:rPr>
          <w:tab/>
        </w:r>
        <w:r w:rsidR="00F4148E" w:rsidRPr="00F4148E">
          <w:rPr>
            <w:rStyle w:val="Hyperlink"/>
            <w:noProof/>
            <w:webHidden/>
          </w:rPr>
          <w:fldChar w:fldCharType="begin"/>
        </w:r>
        <w:r w:rsidR="00F4148E" w:rsidRPr="00F4148E">
          <w:rPr>
            <w:rStyle w:val="Hyperlink"/>
            <w:noProof/>
            <w:webHidden/>
          </w:rPr>
          <w:instrText xml:space="preserve"> PAGEREF _Toc88660890 \h </w:instrText>
        </w:r>
        <w:r w:rsidR="00F4148E" w:rsidRPr="00F4148E">
          <w:rPr>
            <w:rStyle w:val="Hyperlink"/>
            <w:noProof/>
            <w:webHidden/>
          </w:rPr>
        </w:r>
        <w:r w:rsidR="00F4148E" w:rsidRPr="00F4148E">
          <w:rPr>
            <w:rStyle w:val="Hyperlink"/>
            <w:noProof/>
            <w:webHidden/>
          </w:rPr>
          <w:fldChar w:fldCharType="separate"/>
        </w:r>
        <w:r w:rsidR="00AE539B">
          <w:rPr>
            <w:rStyle w:val="Hyperlink"/>
            <w:noProof/>
            <w:webHidden/>
          </w:rPr>
          <w:t>19</w:t>
        </w:r>
        <w:r w:rsidR="00F4148E" w:rsidRPr="00F4148E">
          <w:rPr>
            <w:rStyle w:val="Hyperlink"/>
            <w:noProof/>
            <w:webHidden/>
          </w:rPr>
          <w:fldChar w:fldCharType="end"/>
        </w:r>
      </w:hyperlink>
    </w:p>
    <w:p w14:paraId="08194409" w14:textId="61D6E4FD" w:rsidR="00F4148E" w:rsidRPr="00F4148E" w:rsidRDefault="0064265F" w:rsidP="00F4148E">
      <w:pPr>
        <w:pStyle w:val="TOC2"/>
        <w:tabs>
          <w:tab w:val="right" w:leader="dot" w:pos="8296"/>
        </w:tabs>
        <w:rPr>
          <w:rStyle w:val="Hyperlink"/>
          <w:noProof/>
        </w:rPr>
      </w:pPr>
      <w:hyperlink w:anchor="_Toc88660891" w:history="1">
        <w:r w:rsidR="00F4148E" w:rsidRPr="00F4148E">
          <w:rPr>
            <w:rStyle w:val="Hyperlink"/>
            <w:rFonts w:ascii="Bookman Old Style" w:hAnsi="Bookman Old Style"/>
            <w:noProof/>
          </w:rPr>
          <w:t>Table 6: Cost and Risk Indicators for Existing Debt (end-June 2021)</w:t>
        </w:r>
        <w:r w:rsidR="00F4148E" w:rsidRPr="00F4148E">
          <w:rPr>
            <w:rStyle w:val="Hyperlink"/>
            <w:noProof/>
            <w:webHidden/>
          </w:rPr>
          <w:tab/>
        </w:r>
        <w:r w:rsidR="00F4148E" w:rsidRPr="00F4148E">
          <w:rPr>
            <w:rStyle w:val="Hyperlink"/>
            <w:noProof/>
            <w:webHidden/>
          </w:rPr>
          <w:fldChar w:fldCharType="begin"/>
        </w:r>
        <w:r w:rsidR="00F4148E" w:rsidRPr="00F4148E">
          <w:rPr>
            <w:rStyle w:val="Hyperlink"/>
            <w:noProof/>
            <w:webHidden/>
          </w:rPr>
          <w:instrText xml:space="preserve"> PAGEREF _Toc88660891 \h </w:instrText>
        </w:r>
        <w:r w:rsidR="00F4148E" w:rsidRPr="00F4148E">
          <w:rPr>
            <w:rStyle w:val="Hyperlink"/>
            <w:noProof/>
            <w:webHidden/>
          </w:rPr>
        </w:r>
        <w:r w:rsidR="00F4148E" w:rsidRPr="00F4148E">
          <w:rPr>
            <w:rStyle w:val="Hyperlink"/>
            <w:noProof/>
            <w:webHidden/>
          </w:rPr>
          <w:fldChar w:fldCharType="separate"/>
        </w:r>
        <w:r w:rsidR="00AE539B">
          <w:rPr>
            <w:rStyle w:val="Hyperlink"/>
            <w:noProof/>
            <w:webHidden/>
          </w:rPr>
          <w:t>26</w:t>
        </w:r>
        <w:r w:rsidR="00F4148E" w:rsidRPr="00F4148E">
          <w:rPr>
            <w:rStyle w:val="Hyperlink"/>
            <w:noProof/>
            <w:webHidden/>
          </w:rPr>
          <w:fldChar w:fldCharType="end"/>
        </w:r>
      </w:hyperlink>
    </w:p>
    <w:p w14:paraId="4C69A4C4" w14:textId="23187AD5" w:rsidR="003D69D8" w:rsidRDefault="0084462F" w:rsidP="00F4148E">
      <w:pPr>
        <w:pStyle w:val="TOC2"/>
        <w:tabs>
          <w:tab w:val="right" w:leader="dot" w:pos="8296"/>
        </w:tabs>
        <w:rPr>
          <w:rFonts w:ascii="Bookman Old Style" w:hAnsi="Bookman Old Style"/>
          <w:b/>
          <w:sz w:val="28"/>
        </w:rPr>
      </w:pPr>
      <w:r w:rsidRPr="00F4148E">
        <w:rPr>
          <w:rStyle w:val="Hyperlink"/>
          <w:rFonts w:ascii="Bookman Old Style" w:hAnsi="Bookman Old Style"/>
          <w:noProof/>
        </w:rPr>
        <w:fldChar w:fldCharType="end"/>
      </w:r>
    </w:p>
    <w:p w14:paraId="1FD18207" w14:textId="77777777" w:rsidR="002D51DC" w:rsidRPr="002D51DC" w:rsidRDefault="002D51DC" w:rsidP="002D51DC"/>
    <w:p w14:paraId="2E475117" w14:textId="48319FBC" w:rsidR="003D69D8" w:rsidRPr="005F30C0" w:rsidRDefault="003D69D8" w:rsidP="00130A51">
      <w:pPr>
        <w:pStyle w:val="Heading1"/>
      </w:pPr>
      <w:bookmarkStart w:id="5" w:name="_Toc88660827"/>
      <w:r w:rsidRPr="005F30C0">
        <w:t>FIGURES</w:t>
      </w:r>
      <w:bookmarkEnd w:id="5"/>
    </w:p>
    <w:p w14:paraId="769A42CC" w14:textId="53CE8645" w:rsidR="00F4148E" w:rsidRPr="00F4148E" w:rsidRDefault="003D69D8" w:rsidP="00F4148E">
      <w:pPr>
        <w:pStyle w:val="TOC2"/>
        <w:tabs>
          <w:tab w:val="right" w:leader="dot" w:pos="8296"/>
        </w:tabs>
        <w:rPr>
          <w:rStyle w:val="Hyperlink"/>
          <w:rFonts w:ascii="Bookman Old Style" w:hAnsi="Bookman Old Style"/>
          <w:noProof/>
        </w:rPr>
      </w:pPr>
      <w:r w:rsidRPr="005F30C0">
        <w:rPr>
          <w:rStyle w:val="Hyperlink"/>
          <w:rFonts w:ascii="Bookman Old Style" w:hAnsi="Bookman Old Style"/>
          <w:noProof/>
        </w:rPr>
        <w:fldChar w:fldCharType="begin"/>
      </w:r>
      <w:r w:rsidRPr="005F30C0">
        <w:rPr>
          <w:rStyle w:val="Hyperlink"/>
          <w:rFonts w:ascii="Bookman Old Style" w:hAnsi="Bookman Old Style"/>
          <w:noProof/>
        </w:rPr>
        <w:instrText xml:space="preserve"> TOC \h \z \c "Figure" </w:instrText>
      </w:r>
      <w:r w:rsidRPr="005F30C0">
        <w:rPr>
          <w:rStyle w:val="Hyperlink"/>
          <w:rFonts w:ascii="Bookman Old Style" w:hAnsi="Bookman Old Style"/>
          <w:noProof/>
        </w:rPr>
        <w:fldChar w:fldCharType="separate"/>
      </w:r>
      <w:hyperlink w:anchor="_Toc88660947" w:history="1">
        <w:r w:rsidR="00F4148E" w:rsidRPr="004E176F">
          <w:rPr>
            <w:rStyle w:val="Hyperlink"/>
            <w:rFonts w:ascii="Bookman Old Style" w:hAnsi="Bookman Old Style"/>
            <w:noProof/>
          </w:rPr>
          <w:t>Figure 1: Aggregated Issuance Calendar vs Actual FY 2020/21</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_Toc88660947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12</w:t>
        </w:r>
        <w:r w:rsidR="00F4148E" w:rsidRPr="00F4148E">
          <w:rPr>
            <w:rStyle w:val="Hyperlink"/>
            <w:rFonts w:ascii="Bookman Old Style" w:hAnsi="Bookman Old Style"/>
            <w:noProof/>
            <w:webHidden/>
          </w:rPr>
          <w:fldChar w:fldCharType="end"/>
        </w:r>
      </w:hyperlink>
    </w:p>
    <w:p w14:paraId="17017B15" w14:textId="7B398781" w:rsidR="00F4148E" w:rsidRPr="00F4148E" w:rsidRDefault="0064265F" w:rsidP="00F4148E">
      <w:pPr>
        <w:pStyle w:val="TOC2"/>
        <w:tabs>
          <w:tab w:val="right" w:leader="dot" w:pos="8296"/>
        </w:tabs>
        <w:rPr>
          <w:rStyle w:val="Hyperlink"/>
          <w:rFonts w:ascii="Bookman Old Style" w:hAnsi="Bookman Old Style"/>
          <w:noProof/>
        </w:rPr>
      </w:pPr>
      <w:hyperlink w:anchor="_Toc88660948" w:history="1">
        <w:r w:rsidR="00F4148E" w:rsidRPr="004E176F">
          <w:rPr>
            <w:rStyle w:val="Hyperlink"/>
            <w:rFonts w:ascii="Bookman Old Style" w:hAnsi="Bookman Old Style"/>
            <w:noProof/>
          </w:rPr>
          <w:t>Figure 2: Contribution to Change in Debt to GDP, by Source</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_Toc88660948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13</w:t>
        </w:r>
        <w:r w:rsidR="00F4148E" w:rsidRPr="00F4148E">
          <w:rPr>
            <w:rStyle w:val="Hyperlink"/>
            <w:rFonts w:ascii="Bookman Old Style" w:hAnsi="Bookman Old Style"/>
            <w:noProof/>
            <w:webHidden/>
          </w:rPr>
          <w:fldChar w:fldCharType="end"/>
        </w:r>
      </w:hyperlink>
    </w:p>
    <w:p w14:paraId="2EDB888E" w14:textId="155A0245" w:rsidR="00F4148E" w:rsidRPr="00F4148E" w:rsidRDefault="0064265F" w:rsidP="00F4148E">
      <w:pPr>
        <w:pStyle w:val="TOC2"/>
        <w:tabs>
          <w:tab w:val="right" w:leader="dot" w:pos="8296"/>
        </w:tabs>
        <w:rPr>
          <w:rStyle w:val="Hyperlink"/>
          <w:rFonts w:ascii="Bookman Old Style" w:hAnsi="Bookman Old Style"/>
          <w:noProof/>
        </w:rPr>
      </w:pPr>
      <w:hyperlink w:anchor="_Toc88660949" w:history="1">
        <w:r w:rsidR="00F4148E" w:rsidRPr="004E176F">
          <w:rPr>
            <w:rStyle w:val="Hyperlink"/>
            <w:rFonts w:ascii="Bookman Old Style" w:hAnsi="Bookman Old Style"/>
            <w:noProof/>
          </w:rPr>
          <w:t>Figure 3: Contribution to Change in Interest to Revenue Ratio</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_Toc88660949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13</w:t>
        </w:r>
        <w:r w:rsidR="00F4148E" w:rsidRPr="00F4148E">
          <w:rPr>
            <w:rStyle w:val="Hyperlink"/>
            <w:rFonts w:ascii="Bookman Old Style" w:hAnsi="Bookman Old Style"/>
            <w:noProof/>
            <w:webHidden/>
          </w:rPr>
          <w:fldChar w:fldCharType="end"/>
        </w:r>
      </w:hyperlink>
    </w:p>
    <w:p w14:paraId="371284B5" w14:textId="2E2FC07C" w:rsidR="00F4148E" w:rsidRPr="00F4148E" w:rsidRDefault="0064265F" w:rsidP="00F4148E">
      <w:pPr>
        <w:pStyle w:val="TOC2"/>
        <w:tabs>
          <w:tab w:val="right" w:leader="dot" w:pos="8296"/>
        </w:tabs>
        <w:rPr>
          <w:rStyle w:val="Hyperlink"/>
          <w:rFonts w:ascii="Bookman Old Style" w:hAnsi="Bookman Old Style"/>
          <w:noProof/>
        </w:rPr>
      </w:pPr>
      <w:hyperlink w:anchor="_Toc88660950" w:history="1">
        <w:r w:rsidR="00F4148E" w:rsidRPr="004E176F">
          <w:rPr>
            <w:rStyle w:val="Hyperlink"/>
            <w:rFonts w:ascii="Bookman Old Style" w:hAnsi="Bookman Old Style"/>
            <w:noProof/>
          </w:rPr>
          <w:t>Figure 4: Domestic Yield Curve for June 2020 and 2021</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_Toc88660950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17</w:t>
        </w:r>
        <w:r w:rsidR="00F4148E" w:rsidRPr="00F4148E">
          <w:rPr>
            <w:rStyle w:val="Hyperlink"/>
            <w:rFonts w:ascii="Bookman Old Style" w:hAnsi="Bookman Old Style"/>
            <w:noProof/>
            <w:webHidden/>
          </w:rPr>
          <w:fldChar w:fldCharType="end"/>
        </w:r>
      </w:hyperlink>
    </w:p>
    <w:p w14:paraId="5C79D46A" w14:textId="237B6078" w:rsidR="00F4148E" w:rsidRPr="00F4148E" w:rsidRDefault="0064265F" w:rsidP="00F4148E">
      <w:pPr>
        <w:pStyle w:val="TOC2"/>
        <w:tabs>
          <w:tab w:val="right" w:leader="dot" w:pos="8296"/>
        </w:tabs>
        <w:rPr>
          <w:rStyle w:val="Hyperlink"/>
          <w:rFonts w:ascii="Bookman Old Style" w:hAnsi="Bookman Old Style"/>
          <w:noProof/>
        </w:rPr>
      </w:pPr>
      <w:hyperlink w:anchor="_Toc88660951" w:history="1">
        <w:r w:rsidR="00F4148E" w:rsidRPr="004E176F">
          <w:rPr>
            <w:rStyle w:val="Hyperlink"/>
            <w:rFonts w:ascii="Bookman Old Style" w:hAnsi="Bookman Old Style"/>
            <w:noProof/>
          </w:rPr>
          <w:t>Figure 5: External Debt Stock, by Currency as at end-June 2021</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_Toc88660951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20</w:t>
        </w:r>
        <w:r w:rsidR="00F4148E" w:rsidRPr="00F4148E">
          <w:rPr>
            <w:rStyle w:val="Hyperlink"/>
            <w:rFonts w:ascii="Bookman Old Style" w:hAnsi="Bookman Old Style"/>
            <w:noProof/>
            <w:webHidden/>
          </w:rPr>
          <w:fldChar w:fldCharType="end"/>
        </w:r>
      </w:hyperlink>
    </w:p>
    <w:p w14:paraId="48D6DD58" w14:textId="4B7DFC46" w:rsidR="00F4148E" w:rsidRPr="00F4148E" w:rsidRDefault="0064265F" w:rsidP="00F4148E">
      <w:pPr>
        <w:pStyle w:val="TOC2"/>
        <w:tabs>
          <w:tab w:val="right" w:leader="dot" w:pos="8296"/>
        </w:tabs>
        <w:rPr>
          <w:rStyle w:val="Hyperlink"/>
          <w:rFonts w:ascii="Bookman Old Style" w:hAnsi="Bookman Old Style"/>
          <w:noProof/>
        </w:rPr>
      </w:pPr>
      <w:hyperlink w:anchor="_Toc88660952" w:history="1">
        <w:r w:rsidR="00F4148E" w:rsidRPr="004E176F">
          <w:rPr>
            <w:rStyle w:val="Hyperlink"/>
            <w:rFonts w:ascii="Bookman Old Style" w:hAnsi="Bookman Old Style"/>
            <w:noProof/>
          </w:rPr>
          <w:t>Figure 6: Domestic Debt Stock, by Instrument Type as at end-June 2020 and 2021</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_Toc88660952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21</w:t>
        </w:r>
        <w:r w:rsidR="00F4148E" w:rsidRPr="00F4148E">
          <w:rPr>
            <w:rStyle w:val="Hyperlink"/>
            <w:rFonts w:ascii="Bookman Old Style" w:hAnsi="Bookman Old Style"/>
            <w:noProof/>
            <w:webHidden/>
          </w:rPr>
          <w:fldChar w:fldCharType="end"/>
        </w:r>
      </w:hyperlink>
    </w:p>
    <w:p w14:paraId="75F655F4" w14:textId="522AE357" w:rsidR="00F4148E" w:rsidRPr="00F4148E" w:rsidRDefault="0064265F" w:rsidP="00F4148E">
      <w:pPr>
        <w:pStyle w:val="TOC2"/>
        <w:tabs>
          <w:tab w:val="right" w:leader="dot" w:pos="8296"/>
        </w:tabs>
        <w:rPr>
          <w:rStyle w:val="Hyperlink"/>
          <w:rFonts w:ascii="Bookman Old Style" w:hAnsi="Bookman Old Style"/>
          <w:noProof/>
        </w:rPr>
      </w:pPr>
      <w:hyperlink w:anchor="_Toc88660953" w:history="1">
        <w:r w:rsidR="00F4148E" w:rsidRPr="004E176F">
          <w:rPr>
            <w:rStyle w:val="Hyperlink"/>
            <w:rFonts w:ascii="Bookman Old Style" w:hAnsi="Bookman Old Style"/>
            <w:noProof/>
          </w:rPr>
          <w:t>Figure 7: Domestic Debt Stock, by Holder as at end-June 2020 and 2021</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_Toc88660953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22</w:t>
        </w:r>
        <w:r w:rsidR="00F4148E" w:rsidRPr="00F4148E">
          <w:rPr>
            <w:rStyle w:val="Hyperlink"/>
            <w:rFonts w:ascii="Bookman Old Style" w:hAnsi="Bookman Old Style"/>
            <w:noProof/>
            <w:webHidden/>
          </w:rPr>
          <w:fldChar w:fldCharType="end"/>
        </w:r>
      </w:hyperlink>
    </w:p>
    <w:p w14:paraId="064C5B71" w14:textId="17D9D2C1" w:rsidR="00F4148E" w:rsidRPr="00F4148E" w:rsidRDefault="0064265F" w:rsidP="00F4148E">
      <w:pPr>
        <w:pStyle w:val="TOC2"/>
        <w:tabs>
          <w:tab w:val="right" w:leader="dot" w:pos="8296"/>
        </w:tabs>
        <w:rPr>
          <w:rStyle w:val="Hyperlink"/>
          <w:rFonts w:ascii="Bookman Old Style" w:hAnsi="Bookman Old Style"/>
          <w:noProof/>
        </w:rPr>
      </w:pPr>
      <w:hyperlink w:anchor="_Toc88660954" w:history="1">
        <w:r w:rsidR="00F4148E" w:rsidRPr="004E176F">
          <w:rPr>
            <w:rStyle w:val="Hyperlink"/>
            <w:rFonts w:ascii="Bookman Old Style" w:hAnsi="Bookman Old Style"/>
            <w:noProof/>
          </w:rPr>
          <w:t>Figure 8: Malawi's Debt Redemption Profile, By FY</w:t>
        </w:r>
        <w:r w:rsidR="00F4148E" w:rsidRPr="00F4148E">
          <w:rPr>
            <w:rStyle w:val="Hyperlink"/>
            <w:rFonts w:ascii="Bookman Old Style" w:hAnsi="Bookman Old Style"/>
            <w:noProof/>
            <w:webHidden/>
          </w:rPr>
          <w:tab/>
        </w:r>
        <w:r w:rsidR="00F4148E" w:rsidRPr="00F4148E">
          <w:rPr>
            <w:rStyle w:val="Hyperlink"/>
            <w:rFonts w:ascii="Bookman Old Style" w:hAnsi="Bookman Old Style"/>
            <w:noProof/>
            <w:webHidden/>
          </w:rPr>
          <w:fldChar w:fldCharType="begin"/>
        </w:r>
        <w:r w:rsidR="00F4148E" w:rsidRPr="00F4148E">
          <w:rPr>
            <w:rStyle w:val="Hyperlink"/>
            <w:rFonts w:ascii="Bookman Old Style" w:hAnsi="Bookman Old Style"/>
            <w:noProof/>
            <w:webHidden/>
          </w:rPr>
          <w:instrText xml:space="preserve"> PAGEREF _Toc88660954 \h </w:instrText>
        </w:r>
        <w:r w:rsidR="00F4148E" w:rsidRPr="00F4148E">
          <w:rPr>
            <w:rStyle w:val="Hyperlink"/>
            <w:rFonts w:ascii="Bookman Old Style" w:hAnsi="Bookman Old Style"/>
            <w:noProof/>
            <w:webHidden/>
          </w:rPr>
        </w:r>
        <w:r w:rsidR="00F4148E" w:rsidRPr="00F4148E">
          <w:rPr>
            <w:rStyle w:val="Hyperlink"/>
            <w:rFonts w:ascii="Bookman Old Style" w:hAnsi="Bookman Old Style"/>
            <w:noProof/>
            <w:webHidden/>
          </w:rPr>
          <w:fldChar w:fldCharType="separate"/>
        </w:r>
        <w:r w:rsidR="00AE539B">
          <w:rPr>
            <w:rStyle w:val="Hyperlink"/>
            <w:rFonts w:ascii="Bookman Old Style" w:hAnsi="Bookman Old Style"/>
            <w:noProof/>
            <w:webHidden/>
          </w:rPr>
          <w:t>24</w:t>
        </w:r>
        <w:r w:rsidR="00F4148E" w:rsidRPr="00F4148E">
          <w:rPr>
            <w:rStyle w:val="Hyperlink"/>
            <w:rFonts w:ascii="Bookman Old Style" w:hAnsi="Bookman Old Style"/>
            <w:noProof/>
            <w:webHidden/>
          </w:rPr>
          <w:fldChar w:fldCharType="end"/>
        </w:r>
      </w:hyperlink>
    </w:p>
    <w:p w14:paraId="499C9FE8" w14:textId="1554F07A" w:rsidR="0084462F" w:rsidRPr="005F30C0" w:rsidRDefault="003D69D8" w:rsidP="003D69D8">
      <w:pPr>
        <w:pStyle w:val="TOC2"/>
        <w:tabs>
          <w:tab w:val="right" w:leader="dot" w:pos="8296"/>
        </w:tabs>
        <w:rPr>
          <w:rStyle w:val="Hyperlink"/>
          <w:rFonts w:ascii="Bookman Old Style" w:hAnsi="Bookman Old Style"/>
          <w:noProof/>
        </w:rPr>
      </w:pPr>
      <w:r w:rsidRPr="005F30C0">
        <w:rPr>
          <w:rStyle w:val="Hyperlink"/>
          <w:rFonts w:ascii="Bookman Old Style" w:hAnsi="Bookman Old Style"/>
          <w:noProof/>
        </w:rPr>
        <w:fldChar w:fldCharType="end"/>
      </w:r>
    </w:p>
    <w:p w14:paraId="6FE0C611" w14:textId="1D41F729" w:rsidR="005F30C0" w:rsidRPr="005F30C0" w:rsidRDefault="005F30C0" w:rsidP="005F30C0">
      <w:pPr>
        <w:rPr>
          <w:rFonts w:ascii="Bookman Old Style" w:hAnsi="Bookman Old Style"/>
        </w:rPr>
      </w:pPr>
    </w:p>
    <w:p w14:paraId="4B7C6F1B" w14:textId="77777777" w:rsidR="00D60510" w:rsidRPr="005F30C0" w:rsidRDefault="00D60510" w:rsidP="0021011A">
      <w:pPr>
        <w:spacing w:line="360" w:lineRule="auto"/>
        <w:ind w:left="2880" w:firstLine="720"/>
        <w:rPr>
          <w:rFonts w:ascii="Bookman Old Style" w:hAnsi="Bookman Old Style"/>
          <w:b/>
          <w:sz w:val="28"/>
        </w:rPr>
      </w:pPr>
    </w:p>
    <w:p w14:paraId="257307D8" w14:textId="77777777" w:rsidR="00D60510" w:rsidRPr="005F30C0" w:rsidRDefault="00D60510" w:rsidP="0021011A">
      <w:pPr>
        <w:spacing w:line="360" w:lineRule="auto"/>
        <w:ind w:left="2880" w:firstLine="720"/>
        <w:rPr>
          <w:rFonts w:ascii="Bookman Old Style" w:hAnsi="Bookman Old Style"/>
          <w:b/>
          <w:sz w:val="28"/>
        </w:rPr>
      </w:pPr>
    </w:p>
    <w:p w14:paraId="5877A376" w14:textId="77777777" w:rsidR="00D60510" w:rsidRPr="005F30C0" w:rsidRDefault="00D60510" w:rsidP="003D6EE0">
      <w:pPr>
        <w:spacing w:line="360" w:lineRule="auto"/>
        <w:ind w:left="2880" w:firstLine="720"/>
        <w:jc w:val="center"/>
        <w:rPr>
          <w:rFonts w:ascii="Bookman Old Style" w:hAnsi="Bookman Old Style"/>
          <w:b/>
          <w:sz w:val="28"/>
        </w:rPr>
      </w:pPr>
    </w:p>
    <w:p w14:paraId="420DFE5F" w14:textId="77777777" w:rsidR="00D60510" w:rsidRPr="005F30C0" w:rsidRDefault="00D60510" w:rsidP="0021011A">
      <w:pPr>
        <w:spacing w:line="360" w:lineRule="auto"/>
        <w:ind w:left="2880" w:firstLine="720"/>
        <w:rPr>
          <w:rFonts w:ascii="Bookman Old Style" w:hAnsi="Bookman Old Style"/>
          <w:b/>
          <w:sz w:val="28"/>
        </w:rPr>
      </w:pPr>
    </w:p>
    <w:p w14:paraId="0B8C2FA1" w14:textId="078125E2" w:rsidR="00F004E4" w:rsidRPr="005F30C0" w:rsidRDefault="00F004E4" w:rsidP="0021011A">
      <w:pPr>
        <w:spacing w:line="360" w:lineRule="auto"/>
        <w:ind w:left="2880" w:firstLine="720"/>
        <w:rPr>
          <w:rFonts w:ascii="Bookman Old Style" w:hAnsi="Bookman Old Style"/>
          <w:b/>
        </w:rPr>
        <w:sectPr w:rsidR="00F004E4" w:rsidRPr="005F30C0" w:rsidSect="004D7A01">
          <w:headerReference w:type="even" r:id="rId9"/>
          <w:headerReference w:type="default" r:id="rId10"/>
          <w:footerReference w:type="even" r:id="rId11"/>
          <w:footerReference w:type="default" r:id="rId12"/>
          <w:headerReference w:type="first" r:id="rId13"/>
          <w:pgSz w:w="11906" w:h="16838" w:code="9"/>
          <w:pgMar w:top="1440" w:right="1800" w:bottom="1440" w:left="1800" w:header="720" w:footer="720" w:gutter="0"/>
          <w:cols w:space="720"/>
          <w:titlePg/>
          <w:docGrid w:linePitch="360"/>
        </w:sectPr>
      </w:pPr>
    </w:p>
    <w:p w14:paraId="04449C7A" w14:textId="00053D36" w:rsidR="00837700" w:rsidRDefault="00837700" w:rsidP="00837700">
      <w:pPr>
        <w:pStyle w:val="Heading1"/>
      </w:pPr>
      <w:bookmarkStart w:id="6" w:name="_Toc88660829"/>
      <w:bookmarkStart w:id="7" w:name="_Toc336203137"/>
      <w:bookmarkStart w:id="8" w:name="_Toc433725556"/>
      <w:r w:rsidRPr="00837700">
        <w:lastRenderedPageBreak/>
        <w:t>EXECUTIVE SUMMARY</w:t>
      </w:r>
      <w:bookmarkEnd w:id="6"/>
      <w:r w:rsidRPr="00837700">
        <w:t xml:space="preserve"> </w:t>
      </w:r>
    </w:p>
    <w:p w14:paraId="6409FD3B" w14:textId="198E8FF7" w:rsidR="00837700" w:rsidRDefault="00837700" w:rsidP="00837700"/>
    <w:p w14:paraId="0D35C87B" w14:textId="524C69F6" w:rsidR="00837700" w:rsidRDefault="00837700" w:rsidP="00837700">
      <w:pPr>
        <w:spacing w:line="360" w:lineRule="auto"/>
        <w:rPr>
          <w:rFonts w:ascii="Bookman Old Style" w:hAnsi="Bookman Old Style"/>
          <w:lang w:val="en-US"/>
        </w:rPr>
      </w:pPr>
      <w:r w:rsidRPr="00837700">
        <w:rPr>
          <w:rFonts w:ascii="Bookman Old Style" w:hAnsi="Bookman Old Style"/>
        </w:rPr>
        <w:t xml:space="preserve">Like many countries across the globe, the COVID-19 pandemic has negatively affected Malawi’s economic growth prospects. </w:t>
      </w:r>
      <w:r>
        <w:rPr>
          <w:rFonts w:ascii="Bookman Old Style" w:hAnsi="Bookman Old Style"/>
        </w:rPr>
        <w:t xml:space="preserve"> </w:t>
      </w:r>
      <w:r w:rsidRPr="00837700">
        <w:rPr>
          <w:rFonts w:ascii="Bookman Old Style" w:hAnsi="Bookman Old Style"/>
        </w:rPr>
        <w:t xml:space="preserve">Nevertheless, </w:t>
      </w:r>
      <w:r>
        <w:rPr>
          <w:rFonts w:ascii="Bookman Old Style" w:hAnsi="Bookman Old Style"/>
        </w:rPr>
        <w:t xml:space="preserve">the economy has started to show signs of recovery.  </w:t>
      </w:r>
      <w:r>
        <w:rPr>
          <w:rFonts w:ascii="Bookman Old Style" w:hAnsi="Bookman Old Style"/>
          <w:lang w:val="en-US"/>
        </w:rPr>
        <w:t>G</w:t>
      </w:r>
      <w:r w:rsidR="005E2474">
        <w:rPr>
          <w:rFonts w:ascii="Bookman Old Style" w:hAnsi="Bookman Old Style"/>
          <w:lang w:val="en-US"/>
        </w:rPr>
        <w:t>ross Domestic Product (G</w:t>
      </w:r>
      <w:r>
        <w:rPr>
          <w:rFonts w:ascii="Bookman Old Style" w:hAnsi="Bookman Old Style"/>
          <w:lang w:val="en-US"/>
        </w:rPr>
        <w:t>DP</w:t>
      </w:r>
      <w:r w:rsidR="005E2474">
        <w:rPr>
          <w:rFonts w:ascii="Bookman Old Style" w:hAnsi="Bookman Old Style"/>
          <w:lang w:val="en-US"/>
        </w:rPr>
        <w:t>)</w:t>
      </w:r>
      <w:r w:rsidRPr="009B6F07">
        <w:rPr>
          <w:rFonts w:ascii="Bookman Old Style" w:hAnsi="Bookman Old Style"/>
          <w:lang w:val="en-US"/>
        </w:rPr>
        <w:t xml:space="preserve"> </w:t>
      </w:r>
      <w:r w:rsidR="003C2C4F" w:rsidRPr="009B6F07">
        <w:rPr>
          <w:rFonts w:ascii="Bookman Old Style" w:hAnsi="Bookman Old Style"/>
          <w:lang w:val="en-US"/>
        </w:rPr>
        <w:t xml:space="preserve">growth </w:t>
      </w:r>
      <w:r w:rsidR="003C2C4F">
        <w:rPr>
          <w:rFonts w:ascii="Bookman Old Style" w:hAnsi="Bookman Old Style"/>
          <w:lang w:val="en-US"/>
        </w:rPr>
        <w:t>rebounded</w:t>
      </w:r>
      <w:r>
        <w:rPr>
          <w:rFonts w:ascii="Bookman Old Style" w:hAnsi="Bookman Old Style"/>
          <w:lang w:val="en-US"/>
        </w:rPr>
        <w:t xml:space="preserve"> to an estimated growth rate of 3.8 percent in 2021</w:t>
      </w:r>
      <w:r w:rsidR="00AA5ABD">
        <w:rPr>
          <w:rFonts w:ascii="Bookman Old Style" w:hAnsi="Bookman Old Style"/>
          <w:lang w:val="en-US"/>
        </w:rPr>
        <w:t xml:space="preserve"> from a subdued growth rate of </w:t>
      </w:r>
      <w:r w:rsidRPr="00DA7FF2">
        <w:rPr>
          <w:rFonts w:ascii="Bookman Old Style" w:hAnsi="Bookman Old Style"/>
          <w:lang w:val="en-US"/>
        </w:rPr>
        <w:t xml:space="preserve">0.9 </w:t>
      </w:r>
      <w:r w:rsidRPr="009B6F07">
        <w:rPr>
          <w:rFonts w:ascii="Bookman Old Style" w:hAnsi="Bookman Old Style"/>
          <w:lang w:val="en-US"/>
        </w:rPr>
        <w:t>percent in 2020.</w:t>
      </w:r>
      <w:r>
        <w:rPr>
          <w:rFonts w:ascii="Bookman Old Style" w:hAnsi="Bookman Old Style"/>
          <w:lang w:val="en-US"/>
        </w:rPr>
        <w:t xml:space="preserve"> </w:t>
      </w:r>
    </w:p>
    <w:p w14:paraId="5889D35D" w14:textId="77777777" w:rsidR="00D51C22" w:rsidRDefault="00D51C22" w:rsidP="00837700">
      <w:pPr>
        <w:spacing w:line="360" w:lineRule="auto"/>
        <w:rPr>
          <w:rFonts w:ascii="Bookman Old Style" w:hAnsi="Bookman Old Style"/>
          <w:lang w:val="en-US"/>
        </w:rPr>
      </w:pPr>
    </w:p>
    <w:p w14:paraId="1C7088EB" w14:textId="56D00926" w:rsidR="004A6B3A" w:rsidRDefault="004A6B3A" w:rsidP="004A6B3A">
      <w:pPr>
        <w:spacing w:line="360" w:lineRule="auto"/>
        <w:rPr>
          <w:rFonts w:ascii="Bookman Old Style" w:hAnsi="Bookman Old Style"/>
        </w:rPr>
      </w:pPr>
      <w:r w:rsidRPr="00D51C22">
        <w:rPr>
          <w:rFonts w:ascii="Bookman Old Style" w:hAnsi="Bookman Old Style"/>
        </w:rPr>
        <w:t xml:space="preserve">As at end-June 2021, Total </w:t>
      </w:r>
      <w:r w:rsidR="007B3CF3" w:rsidRPr="00D51C22">
        <w:rPr>
          <w:rFonts w:ascii="Bookman Old Style" w:hAnsi="Bookman Old Style"/>
        </w:rPr>
        <w:t>Public Debt (TPD) stock stood at</w:t>
      </w:r>
      <w:r w:rsidRPr="00D51C22">
        <w:rPr>
          <w:rFonts w:ascii="Bookman Old Style" w:hAnsi="Bookman Old Style"/>
        </w:rPr>
        <w:t xml:space="preserve"> MK5.5 trillion, equivalent to 59 percent of </w:t>
      </w:r>
      <w:r w:rsidR="005E2474" w:rsidRPr="00D51C22">
        <w:rPr>
          <w:rFonts w:ascii="Bookman Old Style" w:hAnsi="Bookman Old Style"/>
        </w:rPr>
        <w:t>Fiscal</w:t>
      </w:r>
      <w:r w:rsidR="004716CC" w:rsidRPr="00D51C22">
        <w:rPr>
          <w:rFonts w:ascii="Bookman Old Style" w:hAnsi="Bookman Old Style"/>
        </w:rPr>
        <w:t xml:space="preserve"> Year (</w:t>
      </w:r>
      <w:r w:rsidRPr="00D51C22">
        <w:rPr>
          <w:rFonts w:ascii="Bookman Old Style" w:hAnsi="Bookman Old Style"/>
        </w:rPr>
        <w:t>FY</w:t>
      </w:r>
      <w:r w:rsidR="004716CC" w:rsidRPr="00D51C22">
        <w:rPr>
          <w:rFonts w:ascii="Bookman Old Style" w:hAnsi="Bookman Old Style"/>
        </w:rPr>
        <w:t xml:space="preserve">) </w:t>
      </w:r>
      <w:r w:rsidRPr="00D51C22">
        <w:rPr>
          <w:rFonts w:ascii="Bookman Old Style" w:hAnsi="Bookman Old Style"/>
        </w:rPr>
        <w:t xml:space="preserve">2020/21 </w:t>
      </w:r>
      <w:r w:rsidR="005E2474">
        <w:rPr>
          <w:rFonts w:ascii="Bookman Old Style" w:hAnsi="Bookman Old Style"/>
        </w:rPr>
        <w:t>GDP</w:t>
      </w:r>
      <w:r w:rsidRPr="00D51C22">
        <w:rPr>
          <w:rFonts w:ascii="Bookman Old Style" w:hAnsi="Bookman Old Style"/>
        </w:rPr>
        <w:t xml:space="preserve">, up </w:t>
      </w:r>
      <w:r w:rsidR="005E2474" w:rsidRPr="00D51C22">
        <w:rPr>
          <w:rFonts w:ascii="Bookman Old Style" w:hAnsi="Bookman Old Style"/>
        </w:rPr>
        <w:t xml:space="preserve">by 32 percent </w:t>
      </w:r>
      <w:r w:rsidRPr="00D51C22">
        <w:rPr>
          <w:rFonts w:ascii="Bookman Old Style" w:hAnsi="Bookman Old Style"/>
        </w:rPr>
        <w:t xml:space="preserve">from MK4.1 trillion or 48 percent of GDP, in June 2020.  Of the TPD stock, </w:t>
      </w:r>
      <w:r w:rsidR="007B3CF3">
        <w:rPr>
          <w:rFonts w:ascii="Bookman Old Style" w:hAnsi="Bookman Old Style"/>
        </w:rPr>
        <w:t>USD3.6</w:t>
      </w:r>
      <w:r w:rsidR="00A71679">
        <w:rPr>
          <w:rFonts w:ascii="Bookman Old Style" w:hAnsi="Bookman Old Style"/>
        </w:rPr>
        <w:t xml:space="preserve"> billion were external debt or 31 percent of GDP and MK2.6 trillion or 28 percent of GDP</w:t>
      </w:r>
      <w:r w:rsidRPr="006A367F">
        <w:rPr>
          <w:rFonts w:ascii="Bookman Old Style" w:hAnsi="Bookman Old Style"/>
        </w:rPr>
        <w:t xml:space="preserve"> were do</w:t>
      </w:r>
      <w:r>
        <w:rPr>
          <w:rFonts w:ascii="Bookman Old Style" w:hAnsi="Bookman Old Style"/>
        </w:rPr>
        <w:t xml:space="preserve">mestic debt. External debt </w:t>
      </w:r>
      <w:r w:rsidR="00DB7502">
        <w:rPr>
          <w:rFonts w:ascii="Bookman Old Style" w:hAnsi="Bookman Old Style"/>
        </w:rPr>
        <w:t xml:space="preserve">grew by </w:t>
      </w:r>
      <w:r w:rsidR="003C7A92">
        <w:rPr>
          <w:rFonts w:ascii="Bookman Old Style" w:hAnsi="Bookman Old Style"/>
        </w:rPr>
        <w:t>14</w:t>
      </w:r>
      <w:r w:rsidR="00A71679">
        <w:rPr>
          <w:rFonts w:ascii="Bookman Old Style" w:hAnsi="Bookman Old Style"/>
        </w:rPr>
        <w:t xml:space="preserve"> percent during the period under review</w:t>
      </w:r>
      <w:r w:rsidR="006C10DE">
        <w:rPr>
          <w:rFonts w:ascii="Bookman Old Style" w:hAnsi="Bookman Old Style"/>
        </w:rPr>
        <w:t xml:space="preserve"> lower than the 42</w:t>
      </w:r>
      <w:r w:rsidR="00DB7502">
        <w:rPr>
          <w:rFonts w:ascii="Bookman Old Style" w:hAnsi="Bookman Old Style"/>
        </w:rPr>
        <w:t xml:space="preserve"> percent acceleration </w:t>
      </w:r>
      <w:r w:rsidR="00DB7502" w:rsidRPr="006A367F">
        <w:rPr>
          <w:rFonts w:ascii="Bookman Old Style" w:hAnsi="Bookman Old Style"/>
        </w:rPr>
        <w:t>in</w:t>
      </w:r>
      <w:r w:rsidRPr="006A367F">
        <w:rPr>
          <w:rFonts w:ascii="Bookman Old Style" w:hAnsi="Bookman Old Style"/>
        </w:rPr>
        <w:t xml:space="preserve"> domestic debt.</w:t>
      </w:r>
    </w:p>
    <w:p w14:paraId="5B19E54D" w14:textId="7CECE0F0" w:rsidR="003C7A92" w:rsidRDefault="003C7A92" w:rsidP="004A6B3A">
      <w:pPr>
        <w:spacing w:line="360" w:lineRule="auto"/>
        <w:rPr>
          <w:rFonts w:ascii="Bookman Old Style" w:hAnsi="Bookman Old Style"/>
        </w:rPr>
      </w:pPr>
    </w:p>
    <w:p w14:paraId="24416608" w14:textId="405FBD3A" w:rsidR="004A6B3A" w:rsidRDefault="003C7A92" w:rsidP="00701064">
      <w:pPr>
        <w:spacing w:line="360" w:lineRule="auto"/>
        <w:rPr>
          <w:rFonts w:ascii="Bookman Old Style" w:hAnsi="Bookman Old Style"/>
        </w:rPr>
      </w:pPr>
      <w:r w:rsidRPr="006A367F">
        <w:rPr>
          <w:rFonts w:ascii="Bookman Old Style" w:hAnsi="Bookman Old Style"/>
          <w:lang w:val="en-US"/>
        </w:rPr>
        <w:t>The External debt stock consisted of 73 perce</w:t>
      </w:r>
      <w:r w:rsidR="006C10DE">
        <w:rPr>
          <w:rFonts w:ascii="Bookman Old Style" w:hAnsi="Bookman Old Style"/>
          <w:lang w:val="en-US"/>
        </w:rPr>
        <w:t>nt central government debt and 2</w:t>
      </w:r>
      <w:r w:rsidRPr="006A367F">
        <w:rPr>
          <w:rFonts w:ascii="Bookman Old Style" w:hAnsi="Bookman Old Style"/>
          <w:lang w:val="en-US"/>
        </w:rPr>
        <w:t xml:space="preserve">7 percent central bank debt in June 2021 as compared to 87 percent and 13 </w:t>
      </w:r>
      <w:r w:rsidRPr="004716CC">
        <w:rPr>
          <w:rFonts w:ascii="Bookman Old Style" w:hAnsi="Bookman Old Style"/>
        </w:rPr>
        <w:t xml:space="preserve">percent in June 2020, respectively. </w:t>
      </w:r>
      <w:r w:rsidRPr="006A367F">
        <w:rPr>
          <w:rFonts w:ascii="Bookman Old Style" w:hAnsi="Bookman Old Style"/>
        </w:rPr>
        <w:t>Multilateral creditors continue</w:t>
      </w:r>
      <w:r w:rsidR="006C10DE">
        <w:rPr>
          <w:rFonts w:ascii="Bookman Old Style" w:hAnsi="Bookman Old Style"/>
        </w:rPr>
        <w:t>d</w:t>
      </w:r>
      <w:r w:rsidRPr="006A367F">
        <w:rPr>
          <w:rFonts w:ascii="Bookman Old Style" w:hAnsi="Bookman Old Style"/>
        </w:rPr>
        <w:t xml:space="preserve"> to account for the largest proportion </w:t>
      </w:r>
      <w:r w:rsidR="001F788B">
        <w:rPr>
          <w:rFonts w:ascii="Bookman Old Style" w:hAnsi="Bookman Old Style"/>
        </w:rPr>
        <w:t xml:space="preserve">of Malawi’s external debt and the </w:t>
      </w:r>
      <w:r w:rsidR="001F788B" w:rsidRPr="006A367F">
        <w:rPr>
          <w:rFonts w:ascii="Bookman Old Style" w:hAnsi="Bookman Old Style"/>
        </w:rPr>
        <w:t>share</w:t>
      </w:r>
      <w:r w:rsidRPr="006A367F">
        <w:rPr>
          <w:rFonts w:ascii="Bookman Old Style" w:hAnsi="Bookman Old Style"/>
        </w:rPr>
        <w:t xml:space="preserve"> inc</w:t>
      </w:r>
      <w:r w:rsidR="00A71679">
        <w:rPr>
          <w:rFonts w:ascii="Bookman Old Style" w:hAnsi="Bookman Old Style"/>
        </w:rPr>
        <w:t>reased by 17 percent in June 2021</w:t>
      </w:r>
      <w:r w:rsidRPr="006A367F">
        <w:rPr>
          <w:rFonts w:ascii="Bookman Old Style" w:hAnsi="Bookman Old Style"/>
        </w:rPr>
        <w:t>. Commercial creditors followed and increased holdings by 8 percent. Bilateral creditors were the least and increased their holdings by 10 percent. At a holding of USD1, 1</w:t>
      </w:r>
      <w:r w:rsidR="00A71679">
        <w:rPr>
          <w:rFonts w:ascii="Bookman Old Style" w:hAnsi="Bookman Old Style"/>
        </w:rPr>
        <w:t xml:space="preserve">61.78 million or </w:t>
      </w:r>
      <w:r w:rsidRPr="006A367F">
        <w:rPr>
          <w:rFonts w:ascii="Bookman Old Style" w:hAnsi="Bookman Old Style"/>
        </w:rPr>
        <w:t>32</w:t>
      </w:r>
      <w:r w:rsidR="00A71679">
        <w:rPr>
          <w:rFonts w:ascii="Bookman Old Style" w:hAnsi="Bookman Old Style"/>
        </w:rPr>
        <w:t xml:space="preserve"> percent of total external debt</w:t>
      </w:r>
      <w:r w:rsidRPr="006A367F">
        <w:rPr>
          <w:rFonts w:ascii="Bookman Old Style" w:hAnsi="Bookman Old Style"/>
        </w:rPr>
        <w:t>,</w:t>
      </w:r>
      <w:r w:rsidRPr="004716CC">
        <w:rPr>
          <w:rFonts w:ascii="Bookman Old Style" w:hAnsi="Bookman Old Style"/>
        </w:rPr>
        <w:t xml:space="preserve"> </w:t>
      </w:r>
      <w:r w:rsidRPr="006A367F">
        <w:rPr>
          <w:rFonts w:ascii="Bookman Old Style" w:hAnsi="Bookman Old Style"/>
        </w:rPr>
        <w:t xml:space="preserve">the International Development Association </w:t>
      </w:r>
      <w:r>
        <w:rPr>
          <w:rFonts w:ascii="Bookman Old Style" w:hAnsi="Bookman Old Style"/>
        </w:rPr>
        <w:t xml:space="preserve">remains </w:t>
      </w:r>
      <w:r w:rsidRPr="006A367F">
        <w:rPr>
          <w:rFonts w:ascii="Bookman Old Style" w:hAnsi="Bookman Old Style"/>
        </w:rPr>
        <w:t>the largest creditor to the Government of Malawi. The second largest creditor i</w:t>
      </w:r>
      <w:r w:rsidR="006A167C">
        <w:rPr>
          <w:rFonts w:ascii="Bookman Old Style" w:hAnsi="Bookman Old Style"/>
        </w:rPr>
        <w:t xml:space="preserve">s the Africa Export Import </w:t>
      </w:r>
      <w:r w:rsidR="00A71679">
        <w:rPr>
          <w:rFonts w:ascii="Bookman Old Style" w:hAnsi="Bookman Old Style"/>
        </w:rPr>
        <w:t>Bank with a holding of USD</w:t>
      </w:r>
      <w:r w:rsidRPr="006A367F">
        <w:rPr>
          <w:rFonts w:ascii="Bookman Old Style" w:hAnsi="Bookman Old Style"/>
        </w:rPr>
        <w:t>644.62 milli</w:t>
      </w:r>
      <w:r w:rsidR="00A71679">
        <w:rPr>
          <w:rFonts w:ascii="Bookman Old Style" w:hAnsi="Bookman Old Style"/>
        </w:rPr>
        <w:t xml:space="preserve">on or </w:t>
      </w:r>
      <w:r w:rsidRPr="006A367F">
        <w:rPr>
          <w:rFonts w:ascii="Bookman Old Style" w:hAnsi="Bookman Old Style"/>
        </w:rPr>
        <w:t>18</w:t>
      </w:r>
      <w:r w:rsidR="00A71679">
        <w:rPr>
          <w:rFonts w:ascii="Bookman Old Style" w:hAnsi="Bookman Old Style"/>
        </w:rPr>
        <w:t xml:space="preserve"> percent of total external debt</w:t>
      </w:r>
      <w:r w:rsidRPr="006A367F">
        <w:rPr>
          <w:rFonts w:ascii="Bookman Old Style" w:hAnsi="Bookman Old Style"/>
        </w:rPr>
        <w:t xml:space="preserve"> followed b</w:t>
      </w:r>
      <w:r w:rsidR="006A167C">
        <w:rPr>
          <w:rFonts w:ascii="Bookman Old Style" w:hAnsi="Bookman Old Style"/>
        </w:rPr>
        <w:t xml:space="preserve">y African Development Fund </w:t>
      </w:r>
      <w:r w:rsidR="006A167C" w:rsidRPr="006A367F">
        <w:rPr>
          <w:rFonts w:ascii="Bookman Old Style" w:hAnsi="Bookman Old Style"/>
        </w:rPr>
        <w:t>and</w:t>
      </w:r>
      <w:r w:rsidRPr="006A367F">
        <w:rPr>
          <w:rFonts w:ascii="Bookman Old Style" w:hAnsi="Bookman Old Style"/>
        </w:rPr>
        <w:t xml:space="preserve"> International Monetary Fund at 12 percent</w:t>
      </w:r>
      <w:r w:rsidR="001F788B">
        <w:rPr>
          <w:rFonts w:ascii="Bookman Old Style" w:hAnsi="Bookman Old Style"/>
        </w:rPr>
        <w:t xml:space="preserve"> each</w:t>
      </w:r>
      <w:r w:rsidRPr="006A367F">
        <w:rPr>
          <w:rFonts w:ascii="Bookman Old Style" w:hAnsi="Bookman Old Style"/>
        </w:rPr>
        <w:t xml:space="preserve">. The Export-Import Bank of China and Export-Import Bank of India accounted for 7 percent and 4 percent, respectively.  This ranking has largely remained the same </w:t>
      </w:r>
      <w:r w:rsidR="00A71679" w:rsidRPr="006A367F">
        <w:rPr>
          <w:rFonts w:ascii="Bookman Old Style" w:hAnsi="Bookman Old Style"/>
        </w:rPr>
        <w:t xml:space="preserve">compared </w:t>
      </w:r>
      <w:r w:rsidR="00A71679">
        <w:rPr>
          <w:rFonts w:ascii="Bookman Old Style" w:hAnsi="Bookman Old Style"/>
        </w:rPr>
        <w:t xml:space="preserve">to </w:t>
      </w:r>
      <w:r w:rsidRPr="006A367F">
        <w:rPr>
          <w:rFonts w:ascii="Bookman Old Style" w:hAnsi="Bookman Old Style"/>
        </w:rPr>
        <w:t>June 2020.  Afte</w:t>
      </w:r>
      <w:r w:rsidR="00534005">
        <w:rPr>
          <w:rFonts w:ascii="Bookman Old Style" w:hAnsi="Bookman Old Style"/>
        </w:rPr>
        <w:t>r decomposing SDR into its trad</w:t>
      </w:r>
      <w:r w:rsidRPr="006A367F">
        <w:rPr>
          <w:rFonts w:ascii="Bookman Old Style" w:hAnsi="Bookman Old Style"/>
        </w:rPr>
        <w:t xml:space="preserve">able currencies, the USD accounted for the largest proportion of external debt at 42 percent followed by the EUR and CNY at 25 percent and 13 percent, respectively. Other currencies accounted for </w:t>
      </w:r>
      <w:r>
        <w:rPr>
          <w:rFonts w:ascii="Bookman Old Style" w:hAnsi="Bookman Old Style"/>
        </w:rPr>
        <w:t xml:space="preserve">the </w:t>
      </w:r>
      <w:r w:rsidRPr="006A367F">
        <w:rPr>
          <w:rFonts w:ascii="Bookman Old Style" w:hAnsi="Bookman Old Style"/>
        </w:rPr>
        <w:t>remaining 20</w:t>
      </w:r>
      <w:r>
        <w:rPr>
          <w:rFonts w:ascii="Bookman Old Style" w:hAnsi="Bookman Old Style"/>
        </w:rPr>
        <w:t xml:space="preserve"> </w:t>
      </w:r>
      <w:r w:rsidRPr="006A367F">
        <w:rPr>
          <w:rFonts w:ascii="Bookman Old Style" w:hAnsi="Bookman Old Style"/>
        </w:rPr>
        <w:t xml:space="preserve">percent. </w:t>
      </w:r>
      <w:r w:rsidRPr="004716CC">
        <w:rPr>
          <w:rFonts w:ascii="Bookman Old Style" w:hAnsi="Bookman Old Style"/>
        </w:rPr>
        <w:t xml:space="preserve">As for </w:t>
      </w:r>
      <w:r w:rsidRPr="004716CC">
        <w:rPr>
          <w:rFonts w:ascii="Bookman Old Style" w:hAnsi="Bookman Old Style"/>
        </w:rPr>
        <w:lastRenderedPageBreak/>
        <w:t xml:space="preserve">guarantees, there were no called guarantees in the reporting period.  However, Government guaranteed MK119.4 billion in debt held by state-owned enterprises, representing </w:t>
      </w:r>
      <w:r w:rsidRPr="006A367F">
        <w:rPr>
          <w:rFonts w:ascii="Bookman Old Style" w:hAnsi="Bookman Old Style"/>
        </w:rPr>
        <w:t>1.3 percent of GDP</w:t>
      </w:r>
      <w:r>
        <w:rPr>
          <w:rFonts w:ascii="Bookman Old Style" w:hAnsi="Bookman Old Style"/>
        </w:rPr>
        <w:t>.</w:t>
      </w:r>
      <w:r w:rsidRPr="006A367F">
        <w:rPr>
          <w:rFonts w:ascii="Bookman Old Style" w:eastAsiaTheme="minorHAnsi" w:hAnsi="Bookman Old Style" w:cs="Bookman Old Style"/>
          <w:sz w:val="23"/>
          <w:szCs w:val="23"/>
        </w:rPr>
        <w:t xml:space="preserve"> </w:t>
      </w:r>
    </w:p>
    <w:p w14:paraId="272DBBA5" w14:textId="0445D414" w:rsidR="00701064" w:rsidRDefault="00701064" w:rsidP="00701064">
      <w:pPr>
        <w:spacing w:line="360" w:lineRule="auto"/>
        <w:rPr>
          <w:rFonts w:ascii="Bookman Old Style" w:hAnsi="Bookman Old Style"/>
        </w:rPr>
      </w:pPr>
    </w:p>
    <w:p w14:paraId="3509F22E" w14:textId="3303CB5F" w:rsidR="00701064" w:rsidRDefault="00D51C22" w:rsidP="004A6B3A">
      <w:pPr>
        <w:spacing w:line="360" w:lineRule="auto"/>
        <w:rPr>
          <w:rFonts w:ascii="Bookman Old Style" w:hAnsi="Bookman Old Style"/>
        </w:rPr>
      </w:pPr>
      <w:r>
        <w:rPr>
          <w:rFonts w:ascii="Bookman Old Style" w:hAnsi="Bookman Old Style"/>
        </w:rPr>
        <w:t>The domestic debt stock, comprised</w:t>
      </w:r>
      <w:r w:rsidRPr="007314EA">
        <w:rPr>
          <w:rFonts w:ascii="Bookman Old Style" w:hAnsi="Bookman Old Style"/>
        </w:rPr>
        <w:t xml:space="preserve"> </w:t>
      </w:r>
      <w:r>
        <w:rPr>
          <w:rFonts w:ascii="Bookman Old Style" w:hAnsi="Bookman Old Style"/>
        </w:rPr>
        <w:t>82</w:t>
      </w:r>
      <w:r w:rsidRPr="007314EA">
        <w:rPr>
          <w:rFonts w:ascii="Bookman Old Style" w:hAnsi="Bookman Old Style"/>
        </w:rPr>
        <w:t xml:space="preserve"> percent</w:t>
      </w:r>
      <w:r>
        <w:rPr>
          <w:rFonts w:ascii="Bookman Old Style" w:hAnsi="Bookman Old Style"/>
        </w:rPr>
        <w:t xml:space="preserve"> (MK2</w:t>
      </w:r>
      <w:r w:rsidR="007A5BDD">
        <w:rPr>
          <w:rFonts w:ascii="Bookman Old Style" w:hAnsi="Bookman Old Style"/>
        </w:rPr>
        <w:t>, 099.52</w:t>
      </w:r>
      <w:r w:rsidR="002E3384">
        <w:rPr>
          <w:rFonts w:ascii="Bookman Old Style" w:hAnsi="Bookman Old Style"/>
        </w:rPr>
        <w:t xml:space="preserve"> b</w:t>
      </w:r>
      <w:r>
        <w:rPr>
          <w:rFonts w:ascii="Bookman Old Style" w:hAnsi="Bookman Old Style"/>
        </w:rPr>
        <w:t xml:space="preserve">illion), </w:t>
      </w:r>
      <w:r w:rsidRPr="007314EA">
        <w:rPr>
          <w:rFonts w:ascii="Bookman Old Style" w:hAnsi="Bookman Old Style"/>
        </w:rPr>
        <w:t xml:space="preserve">Treasury Notes, </w:t>
      </w:r>
      <w:r>
        <w:rPr>
          <w:rFonts w:ascii="Bookman Old Style" w:hAnsi="Bookman Old Style"/>
        </w:rPr>
        <w:t>13 percent</w:t>
      </w:r>
      <w:r w:rsidR="002E3384">
        <w:rPr>
          <w:rFonts w:ascii="Bookman Old Style" w:hAnsi="Bookman Old Style"/>
        </w:rPr>
        <w:t xml:space="preserve"> (MK346.20 b</w:t>
      </w:r>
      <w:r>
        <w:rPr>
          <w:rFonts w:ascii="Bookman Old Style" w:hAnsi="Bookman Old Style"/>
        </w:rPr>
        <w:t>illion) Treasury Bills, and 5 percent (MK119.76</w:t>
      </w:r>
      <w:r w:rsidR="002E3384">
        <w:rPr>
          <w:rFonts w:ascii="Bookman Old Style" w:hAnsi="Bookman Old Style"/>
        </w:rPr>
        <w:t xml:space="preserve"> b</w:t>
      </w:r>
      <w:r>
        <w:rPr>
          <w:rFonts w:ascii="Bookman Old Style" w:hAnsi="Bookman Old Style"/>
        </w:rPr>
        <w:t>illion) Promissory Notes.</w:t>
      </w:r>
      <w:r w:rsidR="001F788B">
        <w:rPr>
          <w:rFonts w:ascii="Bookman Old Style" w:hAnsi="Bookman Old Style"/>
        </w:rPr>
        <w:t xml:space="preserve"> The Promissory Notes were issued to clear audited arrears.   </w:t>
      </w:r>
      <w:r>
        <w:rPr>
          <w:rFonts w:ascii="Bookman Old Style" w:hAnsi="Bookman Old Style"/>
        </w:rPr>
        <w:t xml:space="preserve"> </w:t>
      </w:r>
      <w:r w:rsidR="004A6B3A" w:rsidRPr="006A367F">
        <w:rPr>
          <w:rFonts w:ascii="Bookman Old Style" w:hAnsi="Bookman Old Style"/>
        </w:rPr>
        <w:t>In terms of holdings, commercial banks remained the biggest holders of domestic debt and increased their holdings from MK798.98 billion in June 2020 to MK1, 357.74 billion in June 2021.  They were followed by the Reserve Bank of Malawi, which marginally increased its holdings from MK621.30 billion to MK628.64 billi</w:t>
      </w:r>
      <w:r w:rsidR="006F78EC">
        <w:rPr>
          <w:rFonts w:ascii="Bookman Old Style" w:hAnsi="Bookman Old Style"/>
        </w:rPr>
        <w:t>on during the same period. The i</w:t>
      </w:r>
      <w:r w:rsidR="004A6B3A" w:rsidRPr="006A367F">
        <w:rPr>
          <w:rFonts w:ascii="Bookman Old Style" w:hAnsi="Bookman Old Style"/>
        </w:rPr>
        <w:t xml:space="preserve">nsurance sector also increased its holdings </w:t>
      </w:r>
      <w:r w:rsidR="00EF0789">
        <w:rPr>
          <w:rFonts w:ascii="Bookman Old Style" w:hAnsi="Bookman Old Style"/>
        </w:rPr>
        <w:t xml:space="preserve">from </w:t>
      </w:r>
      <w:r w:rsidR="004A6B3A" w:rsidRPr="006A367F">
        <w:rPr>
          <w:rFonts w:ascii="Bookman Old Style" w:hAnsi="Bookman Old Style"/>
        </w:rPr>
        <w:t xml:space="preserve">MK210.38 billion </w:t>
      </w:r>
      <w:r w:rsidR="003C7A92">
        <w:rPr>
          <w:rFonts w:ascii="Bookman Old Style" w:hAnsi="Bookman Old Style"/>
        </w:rPr>
        <w:t xml:space="preserve">to </w:t>
      </w:r>
      <w:r w:rsidR="004A6B3A" w:rsidRPr="006A367F">
        <w:rPr>
          <w:rFonts w:ascii="Bookman Old Style" w:hAnsi="Bookman Old Style"/>
        </w:rPr>
        <w:t xml:space="preserve">MK250.57. </w:t>
      </w:r>
      <w:r w:rsidR="004A6B3A">
        <w:rPr>
          <w:rFonts w:ascii="Bookman Old Style" w:hAnsi="Bookman Old Style"/>
        </w:rPr>
        <w:t>Notab</w:t>
      </w:r>
      <w:r w:rsidR="00D075AC">
        <w:rPr>
          <w:rFonts w:ascii="Bookman Old Style" w:hAnsi="Bookman Old Style"/>
        </w:rPr>
        <w:t>le</w:t>
      </w:r>
      <w:r w:rsidR="004716CC">
        <w:rPr>
          <w:rFonts w:ascii="Bookman Old Style" w:hAnsi="Bookman Old Style"/>
        </w:rPr>
        <w:t xml:space="preserve"> during the same period, </w:t>
      </w:r>
      <w:r w:rsidR="004A6B3A">
        <w:rPr>
          <w:rFonts w:ascii="Bookman Old Style" w:hAnsi="Bookman Old Style"/>
        </w:rPr>
        <w:t>h</w:t>
      </w:r>
      <w:r w:rsidR="00A71679">
        <w:rPr>
          <w:rFonts w:ascii="Bookman Old Style" w:hAnsi="Bookman Old Style"/>
        </w:rPr>
        <w:t>oldings by the h</w:t>
      </w:r>
      <w:r w:rsidR="004716CC">
        <w:rPr>
          <w:rFonts w:ascii="Bookman Old Style" w:hAnsi="Bookman Old Style"/>
        </w:rPr>
        <w:t>ousehold sector</w:t>
      </w:r>
      <w:r w:rsidR="004A6B3A" w:rsidRPr="006A367F">
        <w:rPr>
          <w:rFonts w:ascii="Bookman Old Style" w:hAnsi="Bookman Old Style"/>
        </w:rPr>
        <w:t xml:space="preserve"> increased from M</w:t>
      </w:r>
      <w:r w:rsidR="004A6B3A">
        <w:rPr>
          <w:rFonts w:ascii="Bookman Old Style" w:hAnsi="Bookman Old Style"/>
        </w:rPr>
        <w:t>K0.94 billion to MK4.6</w:t>
      </w:r>
      <w:r w:rsidR="004716CC">
        <w:rPr>
          <w:rFonts w:ascii="Bookman Old Style" w:hAnsi="Bookman Old Style"/>
        </w:rPr>
        <w:t xml:space="preserve">3 billion indicating an </w:t>
      </w:r>
      <w:r w:rsidR="00D075AC">
        <w:rPr>
          <w:rFonts w:ascii="Bookman Old Style" w:hAnsi="Bookman Old Style"/>
        </w:rPr>
        <w:t>active participation</w:t>
      </w:r>
      <w:r w:rsidR="004A6B3A">
        <w:rPr>
          <w:rFonts w:ascii="Bookman Old Style" w:hAnsi="Bookman Old Style"/>
        </w:rPr>
        <w:t xml:space="preserve"> of households in the domestic debt market.</w:t>
      </w:r>
    </w:p>
    <w:p w14:paraId="61782CCE" w14:textId="77777777" w:rsidR="00701064" w:rsidRDefault="00701064" w:rsidP="004A6B3A">
      <w:pPr>
        <w:spacing w:line="360" w:lineRule="auto"/>
        <w:rPr>
          <w:rFonts w:ascii="Bookman Old Style" w:hAnsi="Bookman Old Style"/>
        </w:rPr>
      </w:pPr>
    </w:p>
    <w:p w14:paraId="7BF3FF65" w14:textId="6309DD0D" w:rsidR="004A6B3A" w:rsidRPr="006A367F" w:rsidRDefault="004A6B3A" w:rsidP="004A6B3A">
      <w:pPr>
        <w:spacing w:line="360" w:lineRule="auto"/>
        <w:rPr>
          <w:rFonts w:ascii="Bookman Old Style" w:hAnsi="Bookman Old Style"/>
        </w:rPr>
      </w:pPr>
      <w:r w:rsidRPr="006A367F">
        <w:rPr>
          <w:rFonts w:ascii="Bookman Old Style" w:hAnsi="Bookman Old Style"/>
        </w:rPr>
        <w:t>Yields on Treasury securities on the primary market became steeper as shorter-dated to medium-dated yields increased whilst yields on long-term papers relatively remained the same in the period under review.</w:t>
      </w:r>
    </w:p>
    <w:p w14:paraId="42787F31" w14:textId="4187F3FF" w:rsidR="004A6B3A" w:rsidRPr="004716CC" w:rsidRDefault="004A6B3A" w:rsidP="004A6B3A">
      <w:pPr>
        <w:spacing w:line="360" w:lineRule="auto"/>
        <w:rPr>
          <w:rFonts w:ascii="Bookman Old Style" w:hAnsi="Bookman Old Style"/>
        </w:rPr>
      </w:pPr>
    </w:p>
    <w:p w14:paraId="12C4060D" w14:textId="4CC09EF9" w:rsidR="004A6B3A" w:rsidRPr="004716CC" w:rsidRDefault="004A6B3A" w:rsidP="004A6B3A">
      <w:pPr>
        <w:spacing w:line="360" w:lineRule="auto"/>
        <w:rPr>
          <w:rFonts w:ascii="Bookman Old Style" w:hAnsi="Bookman Old Style"/>
        </w:rPr>
      </w:pPr>
      <w:r w:rsidRPr="004716CC">
        <w:rPr>
          <w:rFonts w:ascii="Bookman Old Style" w:hAnsi="Bookman Old Style"/>
        </w:rPr>
        <w:t xml:space="preserve">Major risks concerning the Malawian public debt status </w:t>
      </w:r>
      <w:r w:rsidR="00D87299" w:rsidRPr="004716CC">
        <w:rPr>
          <w:rFonts w:ascii="Bookman Old Style" w:hAnsi="Bookman Old Style"/>
        </w:rPr>
        <w:t>include refinancing</w:t>
      </w:r>
      <w:r w:rsidRPr="004716CC">
        <w:rPr>
          <w:rFonts w:ascii="Bookman Old Style" w:hAnsi="Bookman Old Style"/>
        </w:rPr>
        <w:t xml:space="preserve"> risk, </w:t>
      </w:r>
      <w:r w:rsidR="00C43CE0">
        <w:rPr>
          <w:rFonts w:ascii="Bookman Old Style" w:hAnsi="Bookman Old Style"/>
        </w:rPr>
        <w:t xml:space="preserve">interest rate risk </w:t>
      </w:r>
      <w:r w:rsidR="00D87299" w:rsidRPr="004716CC">
        <w:rPr>
          <w:rFonts w:ascii="Bookman Old Style" w:hAnsi="Bookman Old Style"/>
        </w:rPr>
        <w:t>and exchange</w:t>
      </w:r>
      <w:r w:rsidRPr="004716CC">
        <w:rPr>
          <w:rFonts w:ascii="Bookman Old Style" w:hAnsi="Bookman Old Style"/>
        </w:rPr>
        <w:t xml:space="preserve"> rate risk. The Average Time to Maturity (ATM), an indicator of refinancing risk, decreased from   8.3 years to 7.8 </w:t>
      </w:r>
      <w:r w:rsidR="007B6B70" w:rsidRPr="004716CC">
        <w:rPr>
          <w:rFonts w:ascii="Bookman Old Style" w:hAnsi="Bookman Old Style"/>
        </w:rPr>
        <w:t>years in</w:t>
      </w:r>
      <w:r w:rsidRPr="004716CC">
        <w:rPr>
          <w:rFonts w:ascii="Bookman Old Style" w:hAnsi="Bookman Old Style"/>
        </w:rPr>
        <w:t xml:space="preserve"> the course of the FY2020/21 due to the increased share of Domestic Debt, which has a lower ATM of 2.7 years as well as commercial external debt with lower maturity period. </w:t>
      </w:r>
      <w:r w:rsidR="00211DEF">
        <w:rPr>
          <w:rFonts w:ascii="Bookman Old Style" w:hAnsi="Bookman Old Style"/>
        </w:rPr>
        <w:t xml:space="preserve">In terms of exposure to exchange rate risk, </w:t>
      </w:r>
      <w:r w:rsidRPr="004716CC">
        <w:rPr>
          <w:rFonts w:ascii="Bookman Old Style" w:hAnsi="Bookman Old Style"/>
        </w:rPr>
        <w:t>45.3 pe</w:t>
      </w:r>
      <w:r w:rsidR="00375688">
        <w:rPr>
          <w:rFonts w:ascii="Bookman Old Style" w:hAnsi="Bookman Old Style"/>
        </w:rPr>
        <w:t>rcent of the Present V</w:t>
      </w:r>
      <w:r w:rsidRPr="004716CC">
        <w:rPr>
          <w:rFonts w:ascii="Bookman Old Style" w:hAnsi="Bookman Old Style"/>
        </w:rPr>
        <w:t>alue of debt was denominated in foreign currency, i</w:t>
      </w:r>
      <w:r w:rsidR="00211DEF">
        <w:rPr>
          <w:rFonts w:ascii="Bookman Old Style" w:hAnsi="Bookman Old Style"/>
        </w:rPr>
        <w:t>mplying</w:t>
      </w:r>
      <w:r w:rsidRPr="004716CC">
        <w:rPr>
          <w:rFonts w:ascii="Bookman Old Style" w:hAnsi="Bookman Old Style"/>
        </w:rPr>
        <w:t xml:space="preserve"> significant exchange rate risk. </w:t>
      </w:r>
    </w:p>
    <w:p w14:paraId="0D0DD9DB" w14:textId="4E9DFBBB" w:rsidR="004A6B3A" w:rsidRDefault="004A6B3A" w:rsidP="004A6B3A">
      <w:pPr>
        <w:spacing w:line="360" w:lineRule="auto"/>
        <w:rPr>
          <w:rFonts w:ascii="Bookman Old Style" w:eastAsiaTheme="minorHAnsi" w:hAnsi="Bookman Old Style" w:cs="Bookman Old Style"/>
          <w:sz w:val="23"/>
          <w:szCs w:val="23"/>
        </w:rPr>
      </w:pPr>
    </w:p>
    <w:p w14:paraId="08876EE4" w14:textId="2D661B3D" w:rsidR="00D51C22" w:rsidRPr="00701064" w:rsidRDefault="004A6B3A" w:rsidP="001F788B">
      <w:pPr>
        <w:spacing w:line="360" w:lineRule="auto"/>
        <w:rPr>
          <w:rFonts w:ascii="Bookman Old Style" w:hAnsi="Bookman Old Style"/>
        </w:rPr>
      </w:pPr>
      <w:r w:rsidRPr="004716CC">
        <w:rPr>
          <w:rFonts w:ascii="Bookman Old Style" w:hAnsi="Bookman Old Style"/>
        </w:rPr>
        <w:t xml:space="preserve">High </w:t>
      </w:r>
      <w:r w:rsidR="00375688">
        <w:rPr>
          <w:rFonts w:ascii="Bookman Old Style" w:hAnsi="Bookman Old Style"/>
        </w:rPr>
        <w:t xml:space="preserve">budget </w:t>
      </w:r>
      <w:r w:rsidRPr="004716CC">
        <w:rPr>
          <w:rFonts w:ascii="Bookman Old Style" w:hAnsi="Bookman Old Style"/>
        </w:rPr>
        <w:t>deficits an</w:t>
      </w:r>
      <w:r w:rsidR="00A71679">
        <w:rPr>
          <w:rFonts w:ascii="Bookman Old Style" w:hAnsi="Bookman Old Style"/>
        </w:rPr>
        <w:t>d high real interest rate on domestic debt are</w:t>
      </w:r>
      <w:r w:rsidRPr="004716CC">
        <w:rPr>
          <w:rFonts w:ascii="Bookman Old Style" w:hAnsi="Bookman Old Style"/>
        </w:rPr>
        <w:t xml:space="preserve"> the key drivers of debt dynamics in Malawi. </w:t>
      </w:r>
    </w:p>
    <w:p w14:paraId="091D9DA4" w14:textId="20223387" w:rsidR="0021011A" w:rsidRDefault="0021011A" w:rsidP="0021011A">
      <w:pPr>
        <w:pStyle w:val="Heading1"/>
      </w:pPr>
      <w:bookmarkStart w:id="9" w:name="_Toc88660830"/>
      <w:r w:rsidRPr="000B2B72">
        <w:lastRenderedPageBreak/>
        <w:t>PREFACE</w:t>
      </w:r>
      <w:bookmarkEnd w:id="7"/>
      <w:bookmarkEnd w:id="8"/>
      <w:bookmarkEnd w:id="9"/>
    </w:p>
    <w:p w14:paraId="049C09F1" w14:textId="77777777" w:rsidR="0027378F" w:rsidRPr="0027378F" w:rsidRDefault="0027378F" w:rsidP="0027378F"/>
    <w:p w14:paraId="50355C0B" w14:textId="6CF8E6C0" w:rsidR="0021011A" w:rsidRPr="000B2B72" w:rsidRDefault="00D04664" w:rsidP="0021011A">
      <w:pPr>
        <w:spacing w:line="360" w:lineRule="auto"/>
        <w:rPr>
          <w:rFonts w:ascii="Bookman Old Style" w:hAnsi="Bookman Old Style"/>
        </w:rPr>
      </w:pPr>
      <w:r w:rsidRPr="007314EA">
        <w:rPr>
          <w:rFonts w:ascii="Bookman Old Style" w:hAnsi="Bookman Old Style"/>
        </w:rPr>
        <w:t>The</w:t>
      </w:r>
      <w:r>
        <w:rPr>
          <w:rFonts w:ascii="Bookman Old Style" w:hAnsi="Bookman Old Style"/>
        </w:rPr>
        <w:t xml:space="preserve"> analysis contained in the </w:t>
      </w:r>
      <w:r w:rsidRPr="00D04664">
        <w:rPr>
          <w:rFonts w:ascii="Bookman Old Style" w:hAnsi="Bookman Old Style"/>
          <w:i/>
        </w:rPr>
        <w:t xml:space="preserve">Annual Public </w:t>
      </w:r>
      <w:r w:rsidR="0021011A" w:rsidRPr="00D04664">
        <w:rPr>
          <w:rFonts w:ascii="Bookman Old Style" w:hAnsi="Bookman Old Style"/>
          <w:i/>
        </w:rPr>
        <w:t>Debt</w:t>
      </w:r>
      <w:r w:rsidRPr="00D04664">
        <w:rPr>
          <w:rFonts w:ascii="Bookman Old Style" w:hAnsi="Bookman Old Style"/>
          <w:i/>
        </w:rPr>
        <w:t xml:space="preserve"> Report</w:t>
      </w:r>
      <w:r>
        <w:rPr>
          <w:rFonts w:ascii="Bookman Old Style" w:hAnsi="Bookman Old Style"/>
        </w:rPr>
        <w:t xml:space="preserve"> are integral elements of the Government’s</w:t>
      </w:r>
      <w:r w:rsidRPr="007314EA">
        <w:rPr>
          <w:rFonts w:ascii="Bookman Old Style" w:hAnsi="Bookman Old Style"/>
        </w:rPr>
        <w:t xml:space="preserve"> </w:t>
      </w:r>
      <w:r>
        <w:rPr>
          <w:rFonts w:ascii="Bookman Old Style" w:hAnsi="Bookman Old Style"/>
        </w:rPr>
        <w:t xml:space="preserve">surveillance of economic </w:t>
      </w:r>
      <w:r w:rsidR="007A0578">
        <w:rPr>
          <w:rFonts w:ascii="Bookman Old Style" w:hAnsi="Bookman Old Style"/>
        </w:rPr>
        <w:t xml:space="preserve">and </w:t>
      </w:r>
      <w:r>
        <w:rPr>
          <w:rFonts w:ascii="Bookman Old Style" w:hAnsi="Bookman Old Style"/>
        </w:rPr>
        <w:t>financial market</w:t>
      </w:r>
      <w:r w:rsidR="007A0578">
        <w:rPr>
          <w:rFonts w:ascii="Bookman Old Style" w:hAnsi="Bookman Old Style"/>
        </w:rPr>
        <w:t xml:space="preserve"> developments</w:t>
      </w:r>
      <w:r>
        <w:rPr>
          <w:rFonts w:ascii="Bookman Old Style" w:hAnsi="Bookman Old Style"/>
        </w:rPr>
        <w:t xml:space="preserve"> that affect public debt.  The Report </w:t>
      </w:r>
      <w:r w:rsidR="007A0578">
        <w:rPr>
          <w:rFonts w:ascii="Bookman Old Style" w:hAnsi="Bookman Old Style"/>
        </w:rPr>
        <w:t>help</w:t>
      </w:r>
      <w:r w:rsidR="00EF0789">
        <w:rPr>
          <w:rFonts w:ascii="Bookman Old Style" w:hAnsi="Bookman Old Style"/>
        </w:rPr>
        <w:t>s</w:t>
      </w:r>
      <w:r w:rsidR="007A0578">
        <w:rPr>
          <w:rFonts w:ascii="Bookman Old Style" w:hAnsi="Bookman Old Style"/>
        </w:rPr>
        <w:t xml:space="preserve"> Government</w:t>
      </w:r>
      <w:r w:rsidR="0021011A" w:rsidRPr="007314EA">
        <w:rPr>
          <w:rFonts w:ascii="Bookman Old Style" w:hAnsi="Bookman Old Style"/>
        </w:rPr>
        <w:t xml:space="preserve"> and other stakeholders to monitor the evolution of the public sector’s debt liabilities and its debt-service obligations over time. </w:t>
      </w:r>
      <w:r w:rsidR="007A0578">
        <w:rPr>
          <w:rFonts w:ascii="Bookman Old Style" w:hAnsi="Bookman Old Style"/>
        </w:rPr>
        <w:t xml:space="preserve">Statistics in the Report </w:t>
      </w:r>
      <w:r w:rsidR="0021011A" w:rsidRPr="007314EA">
        <w:rPr>
          <w:rFonts w:ascii="Bookman Old Style" w:hAnsi="Bookman Old Style"/>
        </w:rPr>
        <w:t>provide early warning signals of possible debt</w:t>
      </w:r>
      <w:r w:rsidR="00331309">
        <w:rPr>
          <w:rFonts w:ascii="Bookman Old Style" w:hAnsi="Bookman Old Style"/>
        </w:rPr>
        <w:t xml:space="preserve"> vulnerabilities. </w:t>
      </w:r>
    </w:p>
    <w:p w14:paraId="0F975DE8" w14:textId="77777777" w:rsidR="00331309" w:rsidRDefault="00331309" w:rsidP="0021011A">
      <w:pPr>
        <w:spacing w:line="360" w:lineRule="auto"/>
        <w:rPr>
          <w:rFonts w:ascii="Bookman Old Style" w:hAnsi="Bookman Old Style"/>
        </w:rPr>
      </w:pPr>
    </w:p>
    <w:p w14:paraId="2A18E611" w14:textId="7AB271FE" w:rsidR="0021011A" w:rsidRPr="007314EA" w:rsidRDefault="007A0578" w:rsidP="0021011A">
      <w:pPr>
        <w:spacing w:line="360" w:lineRule="auto"/>
        <w:rPr>
          <w:rFonts w:ascii="Bookman Old Style" w:hAnsi="Bookman Old Style"/>
        </w:rPr>
      </w:pPr>
      <w:r>
        <w:rPr>
          <w:rFonts w:ascii="Bookman Old Style" w:hAnsi="Bookman Old Style"/>
        </w:rPr>
        <w:t>This</w:t>
      </w:r>
      <w:r w:rsidR="00331309">
        <w:rPr>
          <w:rFonts w:ascii="Bookman Old Style" w:hAnsi="Bookman Old Style"/>
        </w:rPr>
        <w:t xml:space="preserve"> R</w:t>
      </w:r>
      <w:r w:rsidR="0021011A" w:rsidRPr="007314EA">
        <w:rPr>
          <w:rFonts w:ascii="Bookman Old Style" w:hAnsi="Bookman Old Style"/>
        </w:rPr>
        <w:t>eport covers loans and debt securities und</w:t>
      </w:r>
      <w:r w:rsidR="00287D97">
        <w:rPr>
          <w:rFonts w:ascii="Bookman Old Style" w:hAnsi="Bookman Old Style"/>
        </w:rPr>
        <w:t>er budgetary central government</w:t>
      </w:r>
      <w:r w:rsidR="00D04664">
        <w:rPr>
          <w:rFonts w:ascii="Bookman Old Style" w:hAnsi="Bookman Old Style"/>
        </w:rPr>
        <w:t xml:space="preserve"> and central bank</w:t>
      </w:r>
      <w:r w:rsidR="0021011A" w:rsidRPr="007314EA">
        <w:rPr>
          <w:rFonts w:ascii="Bookman Old Style" w:hAnsi="Bookman Old Style"/>
        </w:rPr>
        <w:t>. It also covers publicly guaranteed debt to state</w:t>
      </w:r>
      <w:r w:rsidR="0021011A">
        <w:rPr>
          <w:rFonts w:ascii="Bookman Old Style" w:hAnsi="Bookman Old Style"/>
        </w:rPr>
        <w:t>-</w:t>
      </w:r>
      <w:r w:rsidR="0021011A" w:rsidRPr="007314EA">
        <w:rPr>
          <w:rFonts w:ascii="Bookman Old Style" w:hAnsi="Bookman Old Style"/>
        </w:rPr>
        <w:t xml:space="preserve">owned enterprises. In terms of valuation, </w:t>
      </w:r>
      <w:r w:rsidR="00D232AA">
        <w:rPr>
          <w:rFonts w:ascii="Bookman Old Style" w:hAnsi="Bookman Old Style"/>
        </w:rPr>
        <w:t xml:space="preserve">unless stipulated, </w:t>
      </w:r>
      <w:r w:rsidR="0021011A" w:rsidRPr="007314EA">
        <w:rPr>
          <w:rFonts w:ascii="Bookman Old Style" w:hAnsi="Bookman Old Style"/>
        </w:rPr>
        <w:t xml:space="preserve">domestic debt is reported at </w:t>
      </w:r>
      <w:r w:rsidR="0021011A">
        <w:rPr>
          <w:rFonts w:ascii="Bookman Old Style" w:hAnsi="Bookman Old Style"/>
        </w:rPr>
        <w:t>F</w:t>
      </w:r>
      <w:r w:rsidR="0021011A" w:rsidRPr="007314EA">
        <w:rPr>
          <w:rFonts w:ascii="Bookman Old Style" w:hAnsi="Bookman Old Style"/>
        </w:rPr>
        <w:t xml:space="preserve">ace </w:t>
      </w:r>
      <w:r w:rsidR="0021011A">
        <w:rPr>
          <w:rFonts w:ascii="Bookman Old Style" w:hAnsi="Bookman Old Style"/>
        </w:rPr>
        <w:t>V</w:t>
      </w:r>
      <w:r w:rsidR="0021011A" w:rsidRPr="007314EA">
        <w:rPr>
          <w:rFonts w:ascii="Bookman Old Style" w:hAnsi="Bookman Old Style"/>
        </w:rPr>
        <w:t xml:space="preserve">alue and external debt is </w:t>
      </w:r>
      <w:r w:rsidR="0021011A">
        <w:rPr>
          <w:rFonts w:ascii="Bookman Old Style" w:hAnsi="Bookman Old Style"/>
        </w:rPr>
        <w:t>D</w:t>
      </w:r>
      <w:r w:rsidR="0021011A" w:rsidRPr="007314EA">
        <w:rPr>
          <w:rFonts w:ascii="Bookman Old Style" w:hAnsi="Bookman Old Style"/>
        </w:rPr>
        <w:t xml:space="preserve">isbursed </w:t>
      </w:r>
      <w:r w:rsidR="0021011A">
        <w:rPr>
          <w:rFonts w:ascii="Bookman Old Style" w:hAnsi="Bookman Old Style"/>
        </w:rPr>
        <w:t>O</w:t>
      </w:r>
      <w:r w:rsidR="0021011A" w:rsidRPr="007314EA">
        <w:rPr>
          <w:rFonts w:ascii="Bookman Old Style" w:hAnsi="Bookman Old Style"/>
        </w:rPr>
        <w:t xml:space="preserve">utstanding </w:t>
      </w:r>
      <w:r w:rsidR="0021011A">
        <w:rPr>
          <w:rFonts w:ascii="Bookman Old Style" w:hAnsi="Bookman Old Style"/>
        </w:rPr>
        <w:t>D</w:t>
      </w:r>
      <w:r w:rsidR="0021011A" w:rsidRPr="007314EA">
        <w:rPr>
          <w:rFonts w:ascii="Bookman Old Style" w:hAnsi="Bookman Old Style"/>
        </w:rPr>
        <w:t>ebt.</w:t>
      </w:r>
      <w:r w:rsidR="00D232AA">
        <w:rPr>
          <w:rFonts w:ascii="Bookman Old Style" w:hAnsi="Bookman Old Style"/>
        </w:rPr>
        <w:t xml:space="preserve"> In keeping with </w:t>
      </w:r>
      <w:r w:rsidR="00D232AA" w:rsidRPr="007314EA">
        <w:rPr>
          <w:rFonts w:ascii="Bookman Old Style" w:hAnsi="Bookman Old Style"/>
        </w:rPr>
        <w:t xml:space="preserve">international standards as stipulated in the Public </w:t>
      </w:r>
      <w:r w:rsidR="00D232AA">
        <w:rPr>
          <w:rFonts w:ascii="Bookman Old Style" w:hAnsi="Bookman Old Style"/>
        </w:rPr>
        <w:t xml:space="preserve">Sector </w:t>
      </w:r>
      <w:r w:rsidR="00D232AA" w:rsidRPr="007314EA">
        <w:rPr>
          <w:rFonts w:ascii="Bookman Old Style" w:hAnsi="Bookman Old Style"/>
        </w:rPr>
        <w:t>Debt Statistics Guide</w:t>
      </w:r>
      <w:r w:rsidR="00D232AA">
        <w:rPr>
          <w:rFonts w:ascii="Bookman Old Style" w:hAnsi="Bookman Old Style"/>
        </w:rPr>
        <w:t xml:space="preserve">, </w:t>
      </w:r>
      <w:r w:rsidR="0021011A" w:rsidRPr="007314EA">
        <w:rPr>
          <w:rFonts w:ascii="Bookman Old Style" w:hAnsi="Bookman Old Style"/>
        </w:rPr>
        <w:t>future debt reports</w:t>
      </w:r>
      <w:r w:rsidR="00D232AA">
        <w:rPr>
          <w:rFonts w:ascii="Bookman Old Style" w:hAnsi="Bookman Old Style"/>
        </w:rPr>
        <w:t xml:space="preserve"> will adopt</w:t>
      </w:r>
      <w:r w:rsidR="0021011A" w:rsidRPr="007314EA">
        <w:rPr>
          <w:rFonts w:ascii="Bookman Old Style" w:hAnsi="Bookman Old Style"/>
        </w:rPr>
        <w:t xml:space="preserve"> nominal </w:t>
      </w:r>
      <w:r w:rsidR="00424209" w:rsidRPr="007314EA">
        <w:rPr>
          <w:rFonts w:ascii="Bookman Old Style" w:hAnsi="Bookman Old Style"/>
        </w:rPr>
        <w:t>valuation, extending institutional,</w:t>
      </w:r>
      <w:r w:rsidR="00211DEF">
        <w:rPr>
          <w:rFonts w:ascii="Bookman Old Style" w:hAnsi="Bookman Old Style"/>
        </w:rPr>
        <w:t xml:space="preserve"> and debt instrument </w:t>
      </w:r>
      <w:r w:rsidR="0021011A" w:rsidRPr="007314EA">
        <w:rPr>
          <w:rFonts w:ascii="Bookman Old Style" w:hAnsi="Bookman Old Style"/>
        </w:rPr>
        <w:t>coverage</w:t>
      </w:r>
      <w:r w:rsidR="00211DEF">
        <w:rPr>
          <w:rFonts w:ascii="Bookman Old Style" w:hAnsi="Bookman Old Style"/>
        </w:rPr>
        <w:t>.</w:t>
      </w:r>
      <w:r w:rsidR="0021011A" w:rsidRPr="007314EA">
        <w:rPr>
          <w:rFonts w:ascii="Bookman Old Style" w:hAnsi="Bookman Old Style"/>
        </w:rPr>
        <w:t xml:space="preserve"> </w:t>
      </w:r>
    </w:p>
    <w:p w14:paraId="22305ECA" w14:textId="77777777" w:rsidR="00D232AA" w:rsidRDefault="00D232AA" w:rsidP="0021011A">
      <w:pPr>
        <w:spacing w:line="360" w:lineRule="auto"/>
        <w:rPr>
          <w:rFonts w:ascii="Bookman Old Style" w:hAnsi="Bookman Old Style"/>
          <w:lang w:val="en-US"/>
        </w:rPr>
      </w:pPr>
    </w:p>
    <w:p w14:paraId="183EEC60" w14:textId="7569D03A" w:rsidR="0021011A" w:rsidRPr="007314EA" w:rsidRDefault="0021011A" w:rsidP="0021011A">
      <w:pPr>
        <w:spacing w:line="360" w:lineRule="auto"/>
        <w:rPr>
          <w:rFonts w:ascii="Bookman Old Style" w:hAnsi="Bookman Old Style"/>
          <w:lang w:val="en-US"/>
        </w:rPr>
      </w:pPr>
      <w:r w:rsidRPr="007314EA">
        <w:rPr>
          <w:rFonts w:ascii="Bookman Old Style" w:hAnsi="Bookman Old Style"/>
          <w:lang w:val="en-US"/>
        </w:rPr>
        <w:t xml:space="preserve">This edition highlights debt management operations issues, </w:t>
      </w:r>
      <w:r w:rsidRPr="007314EA">
        <w:rPr>
          <w:rFonts w:ascii="Bookman Old Style" w:hAnsi="Bookman Old Style"/>
        </w:rPr>
        <w:t>Malawi’s external and domestic debt portfolios, r</w:t>
      </w:r>
      <w:r w:rsidR="003F2330">
        <w:rPr>
          <w:rFonts w:ascii="Bookman Old Style" w:hAnsi="Bookman Old Style"/>
        </w:rPr>
        <w:t>isk</w:t>
      </w:r>
      <w:r w:rsidR="00D232AA">
        <w:rPr>
          <w:rFonts w:ascii="Bookman Old Style" w:hAnsi="Bookman Old Style"/>
        </w:rPr>
        <w:t xml:space="preserve"> and cost</w:t>
      </w:r>
      <w:r w:rsidR="003F2330">
        <w:rPr>
          <w:rFonts w:ascii="Bookman Old Style" w:hAnsi="Bookman Old Style"/>
        </w:rPr>
        <w:t xml:space="preserve"> analysis for the period July 2020</w:t>
      </w:r>
      <w:r w:rsidRPr="007314EA">
        <w:rPr>
          <w:rFonts w:ascii="Bookman Old Style" w:hAnsi="Bookman Old Style"/>
        </w:rPr>
        <w:t>-June 20</w:t>
      </w:r>
      <w:r w:rsidR="003F2330">
        <w:rPr>
          <w:rFonts w:ascii="Bookman Old Style" w:hAnsi="Bookman Old Style"/>
        </w:rPr>
        <w:t>21</w:t>
      </w:r>
      <w:r w:rsidRPr="007314EA">
        <w:rPr>
          <w:rFonts w:ascii="Bookman Old Style" w:hAnsi="Bookman Old Style"/>
        </w:rPr>
        <w:t xml:space="preserve">. </w:t>
      </w:r>
      <w:r w:rsidR="00EF0789">
        <w:rPr>
          <w:rFonts w:ascii="Bookman Old Style" w:hAnsi="Bookman Old Style"/>
        </w:rPr>
        <w:t>It also</w:t>
      </w:r>
      <w:r w:rsidR="00D232AA">
        <w:rPr>
          <w:rFonts w:ascii="Bookman Old Style" w:hAnsi="Bookman Old Style"/>
        </w:rPr>
        <w:t xml:space="preserve"> decomposes the drivers of debt</w:t>
      </w:r>
      <w:r w:rsidR="009A4B0B">
        <w:rPr>
          <w:rFonts w:ascii="Bookman Old Style" w:hAnsi="Bookman Old Style"/>
        </w:rPr>
        <w:t xml:space="preserve"> to GDP ratio as well as interest payments</w:t>
      </w:r>
      <w:r w:rsidR="00D232AA">
        <w:rPr>
          <w:rFonts w:ascii="Bookman Old Style" w:hAnsi="Bookman Old Style"/>
        </w:rPr>
        <w:t xml:space="preserve"> in Malawi overtime. </w:t>
      </w:r>
      <w:r w:rsidRPr="007314EA">
        <w:rPr>
          <w:rFonts w:ascii="Bookman Old Style" w:hAnsi="Bookman Old Style"/>
        </w:rPr>
        <w:t>The public debt portfolio review provides analysis</w:t>
      </w:r>
      <w:r w:rsidR="003F2330">
        <w:rPr>
          <w:rFonts w:ascii="Bookman Old Style" w:hAnsi="Bookman Old Style"/>
        </w:rPr>
        <w:t xml:space="preserve"> on the public debt composition</w:t>
      </w:r>
      <w:r w:rsidRPr="007314EA">
        <w:rPr>
          <w:rFonts w:ascii="Bookman Old Style" w:hAnsi="Bookman Old Style"/>
        </w:rPr>
        <w:t xml:space="preserve">. The external debt portfolio review focuses on the evolution and composition of debt by </w:t>
      </w:r>
      <w:r w:rsidR="00D87299">
        <w:rPr>
          <w:rFonts w:ascii="Bookman Old Style" w:hAnsi="Bookman Old Style"/>
        </w:rPr>
        <w:t>holder</w:t>
      </w:r>
      <w:r w:rsidR="00D232AA">
        <w:rPr>
          <w:rFonts w:ascii="Bookman Old Style" w:hAnsi="Bookman Old Style"/>
        </w:rPr>
        <w:t xml:space="preserve">, </w:t>
      </w:r>
      <w:r w:rsidRPr="007314EA">
        <w:rPr>
          <w:rFonts w:ascii="Bookman Old Style" w:hAnsi="Bookman Old Style"/>
        </w:rPr>
        <w:t>creditor and currency. The domestic debt portfolio review focu</w:t>
      </w:r>
      <w:r w:rsidR="007A0578">
        <w:rPr>
          <w:rFonts w:ascii="Bookman Old Style" w:hAnsi="Bookman Old Style"/>
        </w:rPr>
        <w:t xml:space="preserve">ses on the main instruments, </w:t>
      </w:r>
      <w:r w:rsidRPr="007314EA">
        <w:rPr>
          <w:rFonts w:ascii="Bookman Old Style" w:hAnsi="Bookman Old Style"/>
        </w:rPr>
        <w:t>holders of debt</w:t>
      </w:r>
      <w:r w:rsidR="007A0578">
        <w:rPr>
          <w:rFonts w:ascii="Bookman Old Style" w:hAnsi="Bookman Old Style"/>
        </w:rPr>
        <w:t xml:space="preserve"> and yield curve analysis</w:t>
      </w:r>
      <w:r w:rsidRPr="007314EA">
        <w:rPr>
          <w:rFonts w:ascii="Bookman Old Style" w:hAnsi="Bookman Old Style"/>
        </w:rPr>
        <w:t xml:space="preserve">. </w:t>
      </w:r>
      <w:r w:rsidRPr="007314EA" w:rsidDel="0001010F">
        <w:rPr>
          <w:rFonts w:ascii="Bookman Old Style" w:hAnsi="Bookman Old Style"/>
        </w:rPr>
        <w:t>The risk</w:t>
      </w:r>
      <w:r w:rsidR="00D87299">
        <w:rPr>
          <w:rFonts w:ascii="Bookman Old Style" w:hAnsi="Bookman Old Style"/>
        </w:rPr>
        <w:t xml:space="preserve"> and cost</w:t>
      </w:r>
      <w:r w:rsidRPr="007314EA" w:rsidDel="0001010F">
        <w:rPr>
          <w:rFonts w:ascii="Bookman Old Style" w:hAnsi="Bookman Old Style"/>
        </w:rPr>
        <w:t xml:space="preserve"> analysis </w:t>
      </w:r>
      <w:r>
        <w:rPr>
          <w:rFonts w:ascii="Bookman Old Style" w:hAnsi="Bookman Old Style"/>
        </w:rPr>
        <w:t>assesses</w:t>
      </w:r>
      <w:r w:rsidRPr="007314EA" w:rsidDel="0001010F">
        <w:rPr>
          <w:rFonts w:ascii="Bookman Old Style" w:hAnsi="Bookman Old Style"/>
        </w:rPr>
        <w:t xml:space="preserve"> the risks</w:t>
      </w:r>
      <w:r w:rsidR="00D232AA">
        <w:rPr>
          <w:rFonts w:ascii="Bookman Old Style" w:hAnsi="Bookman Old Style"/>
        </w:rPr>
        <w:t xml:space="preserve"> and costs</w:t>
      </w:r>
      <w:r w:rsidRPr="007314EA" w:rsidDel="0001010F">
        <w:rPr>
          <w:rFonts w:ascii="Bookman Old Style" w:hAnsi="Bookman Old Style"/>
        </w:rPr>
        <w:t xml:space="preserve"> associated with the external and domestic debt portfolios</w:t>
      </w:r>
      <w:r w:rsidRPr="007314EA" w:rsidDel="0001010F">
        <w:rPr>
          <w:rFonts w:ascii="Bookman Old Style" w:hAnsi="Bookman Old Style"/>
          <w:lang w:val="en-US"/>
        </w:rPr>
        <w:t>.</w:t>
      </w:r>
    </w:p>
    <w:p w14:paraId="78933405" w14:textId="77777777" w:rsidR="007A0578" w:rsidRDefault="007A0578" w:rsidP="0021011A">
      <w:pPr>
        <w:spacing w:line="360" w:lineRule="auto"/>
        <w:rPr>
          <w:rFonts w:ascii="Bookman Old Style" w:hAnsi="Bookman Old Style"/>
        </w:rPr>
      </w:pPr>
    </w:p>
    <w:p w14:paraId="40FEDC51" w14:textId="1E183A9B" w:rsidR="0021011A" w:rsidRPr="007314EA" w:rsidRDefault="0021011A" w:rsidP="0021011A">
      <w:pPr>
        <w:spacing w:line="360" w:lineRule="auto"/>
        <w:rPr>
          <w:rFonts w:ascii="Bookman Old Style" w:hAnsi="Bookman Old Style"/>
        </w:rPr>
      </w:pPr>
      <w:r w:rsidRPr="007314EA">
        <w:rPr>
          <w:rFonts w:ascii="Bookman Old Style" w:hAnsi="Bookman Old Style"/>
        </w:rPr>
        <w:t xml:space="preserve">An electronic version of this report is available on the Ministry’s website: </w:t>
      </w:r>
      <w:hyperlink r:id="rId14" w:history="1">
        <w:r w:rsidRPr="007314EA">
          <w:rPr>
            <w:rStyle w:val="Hyperlink"/>
            <w:rFonts w:ascii="Bookman Old Style" w:hAnsi="Bookman Old Style"/>
          </w:rPr>
          <w:t>www.finance.gov.mw</w:t>
        </w:r>
      </w:hyperlink>
      <w:r w:rsidR="00DB19F7">
        <w:rPr>
          <w:rFonts w:ascii="Bookman Old Style" w:hAnsi="Bookman Old Style"/>
        </w:rPr>
        <w:t>.</w:t>
      </w:r>
    </w:p>
    <w:p w14:paraId="302F88FE" w14:textId="77777777" w:rsidR="007A0578" w:rsidRDefault="007A0578" w:rsidP="0021011A">
      <w:pPr>
        <w:spacing w:line="360" w:lineRule="auto"/>
        <w:rPr>
          <w:rFonts w:ascii="Bookman Old Style" w:hAnsi="Bookman Old Style"/>
        </w:rPr>
      </w:pPr>
    </w:p>
    <w:p w14:paraId="0C56E72C" w14:textId="7402B23E" w:rsidR="0021011A" w:rsidRDefault="000C6A54" w:rsidP="0021011A">
      <w:pPr>
        <w:spacing w:line="360" w:lineRule="auto"/>
        <w:rPr>
          <w:rFonts w:ascii="Bookman Old Style" w:hAnsi="Bookman Old Style"/>
        </w:rPr>
      </w:pPr>
      <w:r>
        <w:rPr>
          <w:rFonts w:ascii="Bookman Old Style" w:hAnsi="Bookman Old Style"/>
        </w:rPr>
        <w:lastRenderedPageBreak/>
        <w:t xml:space="preserve">Inquiries </w:t>
      </w:r>
      <w:r w:rsidR="0021011A" w:rsidRPr="007314EA">
        <w:rPr>
          <w:rFonts w:ascii="Bookman Old Style" w:hAnsi="Bookman Old Style"/>
        </w:rPr>
        <w:t>and comments on the contents of the report should be addressed to the Director of Debt and Aid Management</w:t>
      </w:r>
      <w:r w:rsidR="0021011A">
        <w:rPr>
          <w:rFonts w:ascii="Bookman Old Style" w:hAnsi="Bookman Old Style"/>
        </w:rPr>
        <w:t xml:space="preserve"> Division</w:t>
      </w:r>
      <w:r w:rsidR="0021011A" w:rsidRPr="007314EA">
        <w:rPr>
          <w:rFonts w:ascii="Bookman Old Style" w:hAnsi="Bookman Old Style"/>
        </w:rPr>
        <w:t xml:space="preserve"> in the Ministry of Finance</w:t>
      </w:r>
      <w:r w:rsidR="0021011A">
        <w:rPr>
          <w:rFonts w:ascii="Bookman Old Style" w:hAnsi="Bookman Old Style"/>
        </w:rPr>
        <w:t xml:space="preserve"> on</w:t>
      </w:r>
      <w:r w:rsidR="0021011A" w:rsidRPr="007314EA">
        <w:rPr>
          <w:rFonts w:ascii="Bookman Old Style" w:hAnsi="Bookman Old Style"/>
        </w:rPr>
        <w:t xml:space="preserve"> the address below:</w:t>
      </w:r>
    </w:p>
    <w:p w14:paraId="7CEF2AFE" w14:textId="77777777" w:rsidR="0021011A" w:rsidRPr="007314EA" w:rsidRDefault="0021011A" w:rsidP="0021011A">
      <w:pPr>
        <w:spacing w:line="360" w:lineRule="auto"/>
        <w:rPr>
          <w:rFonts w:ascii="Bookman Old Style" w:hAnsi="Bookman Old Style"/>
        </w:rPr>
      </w:pPr>
    </w:p>
    <w:p w14:paraId="7E515253" w14:textId="77777777" w:rsidR="0021011A" w:rsidRPr="007314EA" w:rsidRDefault="0021011A" w:rsidP="0021011A">
      <w:pPr>
        <w:rPr>
          <w:rFonts w:ascii="Bookman Old Style" w:hAnsi="Bookman Old Style"/>
        </w:rPr>
      </w:pPr>
      <w:r w:rsidRPr="007314EA">
        <w:rPr>
          <w:rFonts w:ascii="Bookman Old Style" w:hAnsi="Bookman Old Style"/>
        </w:rPr>
        <w:t>Ministry of Finance</w:t>
      </w:r>
    </w:p>
    <w:p w14:paraId="10D02454" w14:textId="77777777" w:rsidR="0021011A" w:rsidRPr="007314EA" w:rsidRDefault="0021011A" w:rsidP="0021011A">
      <w:pPr>
        <w:rPr>
          <w:rFonts w:ascii="Bookman Old Style" w:hAnsi="Bookman Old Style"/>
        </w:rPr>
      </w:pPr>
      <w:r w:rsidRPr="007314EA">
        <w:rPr>
          <w:rFonts w:ascii="Bookman Old Style" w:hAnsi="Bookman Old Style"/>
        </w:rPr>
        <w:t>Debt and Aid Management Division</w:t>
      </w:r>
    </w:p>
    <w:p w14:paraId="1C0E6CD4" w14:textId="77777777" w:rsidR="0021011A" w:rsidRPr="007314EA" w:rsidRDefault="0021011A" w:rsidP="0021011A">
      <w:pPr>
        <w:rPr>
          <w:rFonts w:ascii="Bookman Old Style" w:hAnsi="Bookman Old Style"/>
        </w:rPr>
      </w:pPr>
      <w:r w:rsidRPr="007314EA">
        <w:rPr>
          <w:rFonts w:ascii="Bookman Old Style" w:hAnsi="Bookman Old Style"/>
        </w:rPr>
        <w:t>P.O. Box 30049, Lilongwe 3, Malawi</w:t>
      </w:r>
    </w:p>
    <w:p w14:paraId="7071D156" w14:textId="77777777" w:rsidR="0021011A" w:rsidRPr="007314EA" w:rsidRDefault="0021011A" w:rsidP="0021011A">
      <w:pPr>
        <w:rPr>
          <w:rFonts w:ascii="Bookman Old Style" w:hAnsi="Bookman Old Style"/>
        </w:rPr>
      </w:pPr>
      <w:r w:rsidRPr="007314EA">
        <w:rPr>
          <w:rFonts w:ascii="Bookman Old Style" w:hAnsi="Bookman Old Style"/>
        </w:rPr>
        <w:t>Tel No.: +265-1-789-355</w:t>
      </w:r>
    </w:p>
    <w:p w14:paraId="094389CA" w14:textId="77777777" w:rsidR="0021011A" w:rsidRDefault="0021011A" w:rsidP="0021011A">
      <w:pPr>
        <w:rPr>
          <w:rStyle w:val="Hyperlink"/>
          <w:rFonts w:ascii="Bookman Old Style" w:hAnsi="Bookman Old Style"/>
        </w:rPr>
      </w:pPr>
      <w:r w:rsidRPr="007314EA">
        <w:rPr>
          <w:rFonts w:ascii="Bookman Old Style" w:hAnsi="Bookman Old Style"/>
        </w:rPr>
        <w:t xml:space="preserve">Website: </w:t>
      </w:r>
      <w:hyperlink r:id="rId15" w:history="1">
        <w:r w:rsidRPr="007314EA">
          <w:rPr>
            <w:rStyle w:val="Hyperlink"/>
            <w:rFonts w:ascii="Bookman Old Style" w:hAnsi="Bookman Old Style"/>
          </w:rPr>
          <w:t>www.finance.gov.mw</w:t>
        </w:r>
      </w:hyperlink>
    </w:p>
    <w:p w14:paraId="31B1AA85" w14:textId="01459DFB" w:rsidR="0021011A" w:rsidRPr="0027378F" w:rsidRDefault="0021011A" w:rsidP="0027378F">
      <w:pPr>
        <w:spacing w:after="160" w:line="259" w:lineRule="auto"/>
        <w:rPr>
          <w:rFonts w:ascii="Bookman Old Style" w:hAnsi="Bookman Old Style"/>
          <w:color w:val="0000FF"/>
          <w:u w:val="single"/>
        </w:rPr>
      </w:pPr>
      <w:r>
        <w:rPr>
          <w:rStyle w:val="Hyperlink"/>
          <w:rFonts w:ascii="Bookman Old Style" w:hAnsi="Bookman Old Style"/>
        </w:rPr>
        <w:br w:type="page"/>
      </w:r>
    </w:p>
    <w:p w14:paraId="07E784EA" w14:textId="13344769" w:rsidR="0021011A" w:rsidRDefault="0021011A" w:rsidP="0021011A">
      <w:pPr>
        <w:pStyle w:val="Heading1"/>
      </w:pPr>
      <w:bookmarkStart w:id="10" w:name="_Toc88660831"/>
      <w:r w:rsidRPr="000B2B72">
        <w:lastRenderedPageBreak/>
        <w:t>ACCRONYMS</w:t>
      </w:r>
      <w:r w:rsidRPr="007314EA">
        <w:t xml:space="preserve"> AND ABBREVIATIONS</w:t>
      </w:r>
      <w:bookmarkEnd w:id="10"/>
    </w:p>
    <w:p w14:paraId="060AED95" w14:textId="77777777" w:rsidR="004A6B3A" w:rsidRPr="004A6B3A" w:rsidRDefault="004A6B3A" w:rsidP="004A6B3A"/>
    <w:tbl>
      <w:tblPr>
        <w:tblW w:w="0" w:type="auto"/>
        <w:tblLook w:val="04A0" w:firstRow="1" w:lastRow="0" w:firstColumn="1" w:lastColumn="0" w:noHBand="0" w:noVBand="1"/>
      </w:tblPr>
      <w:tblGrid>
        <w:gridCol w:w="1525"/>
        <w:gridCol w:w="7491"/>
      </w:tblGrid>
      <w:tr w:rsidR="0021011A" w:rsidRPr="000E7476" w14:paraId="39BC4030" w14:textId="77777777" w:rsidTr="00AC55E5">
        <w:tc>
          <w:tcPr>
            <w:tcW w:w="1525" w:type="dxa"/>
            <w:vAlign w:val="center"/>
          </w:tcPr>
          <w:p w14:paraId="57E2BB41" w14:textId="77777777" w:rsidR="0021011A" w:rsidRPr="000E7476" w:rsidRDefault="0021011A" w:rsidP="004D7A01">
            <w:pPr>
              <w:rPr>
                <w:rFonts w:ascii="Bookman Old Style" w:hAnsi="Bookman Old Style"/>
              </w:rPr>
            </w:pPr>
            <w:r w:rsidRPr="000E7476">
              <w:rPr>
                <w:rFonts w:ascii="Bookman Old Style" w:hAnsi="Bookman Old Style"/>
              </w:rPr>
              <w:t>ADF</w:t>
            </w:r>
          </w:p>
        </w:tc>
        <w:tc>
          <w:tcPr>
            <w:tcW w:w="7491" w:type="dxa"/>
          </w:tcPr>
          <w:p w14:paraId="303699EF" w14:textId="77777777" w:rsidR="0021011A" w:rsidRPr="000E7476" w:rsidRDefault="0021011A" w:rsidP="004D7A01">
            <w:pPr>
              <w:rPr>
                <w:rFonts w:ascii="Bookman Old Style" w:hAnsi="Bookman Old Style"/>
              </w:rPr>
            </w:pPr>
            <w:r w:rsidRPr="000E7476">
              <w:rPr>
                <w:rFonts w:ascii="Bookman Old Style" w:hAnsi="Bookman Old Style"/>
              </w:rPr>
              <w:t>African Development Fund</w:t>
            </w:r>
          </w:p>
        </w:tc>
      </w:tr>
      <w:tr w:rsidR="0021011A" w:rsidRPr="000E7476" w14:paraId="10CB7B58" w14:textId="77777777" w:rsidTr="00AC55E5">
        <w:tc>
          <w:tcPr>
            <w:tcW w:w="1525" w:type="dxa"/>
            <w:vAlign w:val="center"/>
          </w:tcPr>
          <w:p w14:paraId="05F74D87" w14:textId="77777777" w:rsidR="0021011A" w:rsidRPr="000E7476" w:rsidRDefault="0021011A" w:rsidP="004D7A01">
            <w:pPr>
              <w:rPr>
                <w:rFonts w:ascii="Bookman Old Style" w:hAnsi="Bookman Old Style"/>
              </w:rPr>
            </w:pPr>
            <w:r w:rsidRPr="000E7476">
              <w:rPr>
                <w:rFonts w:ascii="Bookman Old Style" w:hAnsi="Bookman Old Style"/>
              </w:rPr>
              <w:t>ADMARC</w:t>
            </w:r>
          </w:p>
        </w:tc>
        <w:tc>
          <w:tcPr>
            <w:tcW w:w="7491" w:type="dxa"/>
          </w:tcPr>
          <w:p w14:paraId="7B65F095" w14:textId="77777777" w:rsidR="0021011A" w:rsidRPr="000E7476" w:rsidRDefault="0021011A" w:rsidP="004D7A01">
            <w:pPr>
              <w:rPr>
                <w:rFonts w:ascii="Bookman Old Style" w:hAnsi="Bookman Old Style"/>
              </w:rPr>
            </w:pPr>
            <w:r w:rsidRPr="000E7476">
              <w:rPr>
                <w:rFonts w:ascii="Bookman Old Style" w:hAnsi="Bookman Old Style"/>
              </w:rPr>
              <w:t>Agricultural Development and Marketing Corporation</w:t>
            </w:r>
          </w:p>
        </w:tc>
      </w:tr>
      <w:tr w:rsidR="0021011A" w:rsidRPr="000E7476" w14:paraId="1A190AD2" w14:textId="77777777" w:rsidTr="00AC55E5">
        <w:tc>
          <w:tcPr>
            <w:tcW w:w="1525" w:type="dxa"/>
            <w:vAlign w:val="center"/>
          </w:tcPr>
          <w:p w14:paraId="69479225" w14:textId="77777777" w:rsidR="0021011A" w:rsidRPr="000E7476" w:rsidRDefault="0021011A" w:rsidP="004D7A01">
            <w:pPr>
              <w:rPr>
                <w:rFonts w:ascii="Bookman Old Style" w:hAnsi="Bookman Old Style"/>
              </w:rPr>
            </w:pPr>
            <w:r w:rsidRPr="000E7476">
              <w:rPr>
                <w:rFonts w:ascii="Bookman Old Style" w:hAnsi="Bookman Old Style"/>
              </w:rPr>
              <w:t>AfDB</w:t>
            </w:r>
          </w:p>
        </w:tc>
        <w:tc>
          <w:tcPr>
            <w:tcW w:w="7491" w:type="dxa"/>
          </w:tcPr>
          <w:p w14:paraId="79BE719A" w14:textId="77777777" w:rsidR="0021011A" w:rsidRPr="000E7476" w:rsidRDefault="0021011A" w:rsidP="004D7A01">
            <w:pPr>
              <w:rPr>
                <w:rFonts w:ascii="Bookman Old Style" w:hAnsi="Bookman Old Style"/>
              </w:rPr>
            </w:pPr>
            <w:r w:rsidRPr="000E7476">
              <w:rPr>
                <w:rFonts w:ascii="Bookman Old Style" w:hAnsi="Bookman Old Style"/>
              </w:rPr>
              <w:t>African Development Bank</w:t>
            </w:r>
          </w:p>
        </w:tc>
      </w:tr>
      <w:tr w:rsidR="0021011A" w:rsidRPr="000E7476" w14:paraId="2C539ECF" w14:textId="77777777" w:rsidTr="00AC55E5">
        <w:tc>
          <w:tcPr>
            <w:tcW w:w="1525" w:type="dxa"/>
            <w:vAlign w:val="center"/>
          </w:tcPr>
          <w:p w14:paraId="4DC0E717" w14:textId="77777777" w:rsidR="0021011A" w:rsidRPr="000E7476" w:rsidRDefault="0021011A" w:rsidP="004D7A01">
            <w:pPr>
              <w:rPr>
                <w:rFonts w:ascii="Bookman Old Style" w:hAnsi="Bookman Old Style"/>
              </w:rPr>
            </w:pPr>
            <w:r w:rsidRPr="000E7476">
              <w:rPr>
                <w:rFonts w:ascii="Bookman Old Style" w:hAnsi="Bookman Old Style"/>
              </w:rPr>
              <w:t>ATM</w:t>
            </w:r>
          </w:p>
        </w:tc>
        <w:tc>
          <w:tcPr>
            <w:tcW w:w="7491" w:type="dxa"/>
          </w:tcPr>
          <w:p w14:paraId="7C6E3E29" w14:textId="77777777" w:rsidR="0021011A" w:rsidRPr="000E7476" w:rsidRDefault="0021011A" w:rsidP="004D7A01">
            <w:pPr>
              <w:rPr>
                <w:rFonts w:ascii="Bookman Old Style" w:hAnsi="Bookman Old Style"/>
              </w:rPr>
            </w:pPr>
            <w:r w:rsidRPr="000E7476">
              <w:rPr>
                <w:rFonts w:ascii="Bookman Old Style" w:hAnsi="Bookman Old Style"/>
              </w:rPr>
              <w:t>Average time to maturity</w:t>
            </w:r>
          </w:p>
        </w:tc>
      </w:tr>
      <w:tr w:rsidR="0021011A" w:rsidRPr="000E7476" w14:paraId="147923BA" w14:textId="77777777" w:rsidTr="00AC55E5">
        <w:tc>
          <w:tcPr>
            <w:tcW w:w="1525" w:type="dxa"/>
            <w:vAlign w:val="center"/>
          </w:tcPr>
          <w:p w14:paraId="1F00450A" w14:textId="77777777" w:rsidR="0021011A" w:rsidRPr="000E7476" w:rsidRDefault="0021011A" w:rsidP="004D7A01">
            <w:pPr>
              <w:rPr>
                <w:rFonts w:ascii="Bookman Old Style" w:hAnsi="Bookman Old Style"/>
              </w:rPr>
            </w:pPr>
            <w:r w:rsidRPr="000E7476">
              <w:rPr>
                <w:rFonts w:ascii="Bookman Old Style" w:hAnsi="Bookman Old Style"/>
              </w:rPr>
              <w:t>ATR</w:t>
            </w:r>
          </w:p>
        </w:tc>
        <w:tc>
          <w:tcPr>
            <w:tcW w:w="7491" w:type="dxa"/>
          </w:tcPr>
          <w:p w14:paraId="6865624D" w14:textId="77777777" w:rsidR="0021011A" w:rsidRPr="000E7476" w:rsidRDefault="0021011A" w:rsidP="004D7A01">
            <w:pPr>
              <w:rPr>
                <w:rFonts w:ascii="Bookman Old Style" w:hAnsi="Bookman Old Style"/>
              </w:rPr>
            </w:pPr>
            <w:r w:rsidRPr="000E7476">
              <w:rPr>
                <w:rFonts w:ascii="Bookman Old Style" w:hAnsi="Bookman Old Style"/>
              </w:rPr>
              <w:t>Average time to re</w:t>
            </w:r>
            <w:r>
              <w:rPr>
                <w:rFonts w:ascii="Bookman Old Style" w:hAnsi="Bookman Old Style"/>
              </w:rPr>
              <w:t>-</w:t>
            </w:r>
            <w:r w:rsidRPr="000E7476">
              <w:rPr>
                <w:rFonts w:ascii="Bookman Old Style" w:hAnsi="Bookman Old Style"/>
              </w:rPr>
              <w:t>fixing</w:t>
            </w:r>
          </w:p>
        </w:tc>
      </w:tr>
      <w:tr w:rsidR="0021011A" w:rsidRPr="000E7476" w14:paraId="3A1B3743" w14:textId="77777777" w:rsidTr="00AC55E5">
        <w:tc>
          <w:tcPr>
            <w:tcW w:w="1525" w:type="dxa"/>
            <w:vAlign w:val="center"/>
          </w:tcPr>
          <w:p w14:paraId="065C64CD" w14:textId="77777777" w:rsidR="0021011A" w:rsidRPr="000E7476" w:rsidRDefault="0021011A" w:rsidP="004D7A01">
            <w:pPr>
              <w:rPr>
                <w:rFonts w:ascii="Bookman Old Style" w:hAnsi="Bookman Old Style"/>
              </w:rPr>
            </w:pPr>
            <w:r w:rsidRPr="000E7476">
              <w:rPr>
                <w:rFonts w:ascii="Bookman Old Style" w:hAnsi="Bookman Old Style"/>
              </w:rPr>
              <w:t>CNY</w:t>
            </w:r>
          </w:p>
        </w:tc>
        <w:tc>
          <w:tcPr>
            <w:tcW w:w="7491" w:type="dxa"/>
          </w:tcPr>
          <w:p w14:paraId="2193B1DD" w14:textId="56167C03" w:rsidR="009A4B0B" w:rsidRPr="000E7476" w:rsidRDefault="0021011A" w:rsidP="004D7A01">
            <w:pPr>
              <w:rPr>
                <w:rFonts w:ascii="Bookman Old Style" w:hAnsi="Bookman Old Style"/>
              </w:rPr>
            </w:pPr>
            <w:r w:rsidRPr="000E7476">
              <w:rPr>
                <w:rFonts w:ascii="Bookman Old Style" w:hAnsi="Bookman Old Style"/>
              </w:rPr>
              <w:t>Renminbi, official currency of the People's Republic of China</w:t>
            </w:r>
            <w:r w:rsidR="009A4B0B">
              <w:rPr>
                <w:rFonts w:ascii="Bookman Old Style" w:hAnsi="Bookman Old Style"/>
              </w:rPr>
              <w:t xml:space="preserve">  </w:t>
            </w:r>
          </w:p>
        </w:tc>
      </w:tr>
      <w:tr w:rsidR="009A4B0B" w:rsidRPr="000E7476" w14:paraId="52893436" w14:textId="77777777" w:rsidTr="00AC55E5">
        <w:tc>
          <w:tcPr>
            <w:tcW w:w="1525" w:type="dxa"/>
            <w:vAlign w:val="center"/>
          </w:tcPr>
          <w:p w14:paraId="3FA81D91" w14:textId="4092C7C7" w:rsidR="009A4B0B" w:rsidRPr="000E7476" w:rsidRDefault="009A4B0B" w:rsidP="004D7A01">
            <w:pPr>
              <w:rPr>
                <w:rFonts w:ascii="Bookman Old Style" w:hAnsi="Bookman Old Style"/>
              </w:rPr>
            </w:pPr>
            <w:r>
              <w:rPr>
                <w:rFonts w:ascii="Bookman Old Style" w:hAnsi="Bookman Old Style"/>
              </w:rPr>
              <w:t>COVID-19</w:t>
            </w:r>
          </w:p>
        </w:tc>
        <w:tc>
          <w:tcPr>
            <w:tcW w:w="7491" w:type="dxa"/>
          </w:tcPr>
          <w:p w14:paraId="2F831353" w14:textId="1AB8CC54" w:rsidR="009A4B0B" w:rsidRPr="000E7476" w:rsidRDefault="009A4B0B" w:rsidP="004D7A01">
            <w:pPr>
              <w:rPr>
                <w:rFonts w:ascii="Bookman Old Style" w:hAnsi="Bookman Old Style"/>
              </w:rPr>
            </w:pPr>
            <w:r>
              <w:rPr>
                <w:rFonts w:ascii="Bookman Old Style" w:hAnsi="Bookman Old Style"/>
              </w:rPr>
              <w:t>An infectious disease caused by the SARS-CoV-2 virus</w:t>
            </w:r>
          </w:p>
        </w:tc>
      </w:tr>
      <w:tr w:rsidR="0021011A" w:rsidRPr="000E7476" w14:paraId="7847EBDE" w14:textId="77777777" w:rsidTr="00AC55E5">
        <w:tc>
          <w:tcPr>
            <w:tcW w:w="1525" w:type="dxa"/>
            <w:vAlign w:val="center"/>
          </w:tcPr>
          <w:p w14:paraId="732BFA8E" w14:textId="77777777" w:rsidR="0021011A" w:rsidRPr="000E7476" w:rsidRDefault="0021011A" w:rsidP="004D7A01">
            <w:pPr>
              <w:rPr>
                <w:rFonts w:ascii="Bookman Old Style" w:hAnsi="Bookman Old Style"/>
              </w:rPr>
            </w:pPr>
            <w:r w:rsidRPr="000E7476">
              <w:rPr>
                <w:rFonts w:ascii="Bookman Old Style" w:hAnsi="Bookman Old Style"/>
              </w:rPr>
              <w:t>DAD</w:t>
            </w:r>
          </w:p>
        </w:tc>
        <w:tc>
          <w:tcPr>
            <w:tcW w:w="7491" w:type="dxa"/>
          </w:tcPr>
          <w:p w14:paraId="793819EF" w14:textId="77777777" w:rsidR="0021011A" w:rsidRPr="000E7476" w:rsidRDefault="0021011A" w:rsidP="004D7A01">
            <w:pPr>
              <w:rPr>
                <w:rFonts w:ascii="Bookman Old Style" w:hAnsi="Bookman Old Style"/>
              </w:rPr>
            </w:pPr>
            <w:r w:rsidRPr="000E7476">
              <w:rPr>
                <w:rFonts w:ascii="Bookman Old Style" w:hAnsi="Bookman Old Style"/>
              </w:rPr>
              <w:t>Debt and Aid Management Division</w:t>
            </w:r>
          </w:p>
        </w:tc>
      </w:tr>
      <w:tr w:rsidR="0021011A" w:rsidRPr="000E7476" w14:paraId="5BD46E0D" w14:textId="77777777" w:rsidTr="00AC55E5">
        <w:tc>
          <w:tcPr>
            <w:tcW w:w="1525" w:type="dxa"/>
            <w:vAlign w:val="center"/>
          </w:tcPr>
          <w:p w14:paraId="3334BF6A" w14:textId="77777777" w:rsidR="0021011A" w:rsidRPr="000E7476" w:rsidRDefault="0021011A" w:rsidP="004D7A01">
            <w:pPr>
              <w:rPr>
                <w:rFonts w:ascii="Bookman Old Style" w:hAnsi="Bookman Old Style"/>
              </w:rPr>
            </w:pPr>
            <w:r w:rsidRPr="000E7476">
              <w:rPr>
                <w:rFonts w:ascii="Bookman Old Style" w:hAnsi="Bookman Old Style"/>
              </w:rPr>
              <w:t>EIB</w:t>
            </w:r>
          </w:p>
        </w:tc>
        <w:tc>
          <w:tcPr>
            <w:tcW w:w="7491" w:type="dxa"/>
          </w:tcPr>
          <w:p w14:paraId="09A00B0B" w14:textId="77777777" w:rsidR="0021011A" w:rsidRPr="000E7476" w:rsidRDefault="0021011A" w:rsidP="004D7A01">
            <w:pPr>
              <w:rPr>
                <w:rFonts w:ascii="Bookman Old Style" w:hAnsi="Bookman Old Style"/>
              </w:rPr>
            </w:pPr>
            <w:r w:rsidRPr="000E7476">
              <w:rPr>
                <w:rFonts w:ascii="Bookman Old Style" w:hAnsi="Bookman Old Style"/>
              </w:rPr>
              <w:t>European Investment Bank</w:t>
            </w:r>
          </w:p>
        </w:tc>
      </w:tr>
      <w:tr w:rsidR="00C62C3F" w:rsidRPr="000E7476" w14:paraId="08E76469" w14:textId="77777777" w:rsidTr="00AC55E5">
        <w:tc>
          <w:tcPr>
            <w:tcW w:w="1525" w:type="dxa"/>
            <w:vAlign w:val="center"/>
          </w:tcPr>
          <w:p w14:paraId="07AFBCD0" w14:textId="5CF75458" w:rsidR="00C62C3F" w:rsidRPr="000E7476" w:rsidRDefault="00C62C3F" w:rsidP="004D7A01">
            <w:pPr>
              <w:rPr>
                <w:rFonts w:ascii="Bookman Old Style" w:hAnsi="Bookman Old Style"/>
              </w:rPr>
            </w:pPr>
            <w:r>
              <w:rPr>
                <w:rFonts w:ascii="Bookman Old Style" w:hAnsi="Bookman Old Style"/>
              </w:rPr>
              <w:t>ESCOM</w:t>
            </w:r>
          </w:p>
        </w:tc>
        <w:tc>
          <w:tcPr>
            <w:tcW w:w="7491" w:type="dxa"/>
          </w:tcPr>
          <w:p w14:paraId="7BEB31EE" w14:textId="358CF2BC" w:rsidR="00C62C3F" w:rsidRPr="000E7476" w:rsidRDefault="00C62C3F" w:rsidP="004D7A01">
            <w:pPr>
              <w:rPr>
                <w:rFonts w:ascii="Bookman Old Style" w:hAnsi="Bookman Old Style"/>
              </w:rPr>
            </w:pPr>
            <w:r>
              <w:rPr>
                <w:rFonts w:ascii="Bookman Old Style" w:hAnsi="Bookman Old Style"/>
              </w:rPr>
              <w:t>Electricity Supply Commission of Malawi</w:t>
            </w:r>
          </w:p>
        </w:tc>
      </w:tr>
      <w:tr w:rsidR="0021011A" w:rsidRPr="000E7476" w14:paraId="5406B86F" w14:textId="77777777" w:rsidTr="00AC55E5">
        <w:tc>
          <w:tcPr>
            <w:tcW w:w="1525" w:type="dxa"/>
            <w:vAlign w:val="center"/>
          </w:tcPr>
          <w:p w14:paraId="7F8EC661" w14:textId="77777777" w:rsidR="0021011A" w:rsidRPr="000E7476" w:rsidRDefault="0021011A" w:rsidP="004D7A01">
            <w:pPr>
              <w:rPr>
                <w:rFonts w:ascii="Bookman Old Style" w:hAnsi="Bookman Old Style"/>
              </w:rPr>
            </w:pPr>
            <w:r w:rsidRPr="000E7476">
              <w:rPr>
                <w:rFonts w:ascii="Bookman Old Style" w:hAnsi="Bookman Old Style"/>
              </w:rPr>
              <w:t>EUR</w:t>
            </w:r>
          </w:p>
        </w:tc>
        <w:tc>
          <w:tcPr>
            <w:tcW w:w="7491" w:type="dxa"/>
          </w:tcPr>
          <w:p w14:paraId="235D7964" w14:textId="77777777" w:rsidR="0021011A" w:rsidRPr="000E7476" w:rsidRDefault="007A0578" w:rsidP="007A0578">
            <w:pPr>
              <w:rPr>
                <w:rFonts w:ascii="Bookman Old Style" w:hAnsi="Bookman Old Style"/>
              </w:rPr>
            </w:pPr>
            <w:r>
              <w:rPr>
                <w:rFonts w:ascii="Bookman Old Style" w:hAnsi="Bookman Old Style"/>
              </w:rPr>
              <w:t>Euro, official currency of</w:t>
            </w:r>
            <w:r w:rsidR="0021011A" w:rsidRPr="000E7476">
              <w:rPr>
                <w:rFonts w:ascii="Bookman Old Style" w:hAnsi="Bookman Old Style"/>
              </w:rPr>
              <w:t xml:space="preserve"> European Union member states</w:t>
            </w:r>
          </w:p>
        </w:tc>
      </w:tr>
      <w:tr w:rsidR="004E3E68" w:rsidRPr="000E7476" w14:paraId="663332F3" w14:textId="77777777" w:rsidTr="00AC55E5">
        <w:tc>
          <w:tcPr>
            <w:tcW w:w="1525" w:type="dxa"/>
            <w:vAlign w:val="center"/>
          </w:tcPr>
          <w:p w14:paraId="507B022F" w14:textId="37BD6D84" w:rsidR="004E3E68" w:rsidRPr="000E7476" w:rsidRDefault="004E3E68" w:rsidP="004D7A01">
            <w:pPr>
              <w:rPr>
                <w:rFonts w:ascii="Bookman Old Style" w:hAnsi="Bookman Old Style"/>
              </w:rPr>
            </w:pPr>
            <w:r>
              <w:rPr>
                <w:rFonts w:ascii="Bookman Old Style" w:hAnsi="Bookman Old Style"/>
              </w:rPr>
              <w:t>FDI</w:t>
            </w:r>
          </w:p>
        </w:tc>
        <w:tc>
          <w:tcPr>
            <w:tcW w:w="7491" w:type="dxa"/>
          </w:tcPr>
          <w:p w14:paraId="1A0FAB81" w14:textId="66BF827E" w:rsidR="004E3E68" w:rsidRDefault="004E3E68" w:rsidP="007A0578">
            <w:pPr>
              <w:rPr>
                <w:rFonts w:ascii="Bookman Old Style" w:hAnsi="Bookman Old Style"/>
              </w:rPr>
            </w:pPr>
            <w:r>
              <w:rPr>
                <w:rFonts w:ascii="Bookman Old Style" w:hAnsi="Bookman Old Style"/>
              </w:rPr>
              <w:t>Foreign Direct Investment</w:t>
            </w:r>
          </w:p>
        </w:tc>
      </w:tr>
      <w:tr w:rsidR="0021011A" w:rsidRPr="000E7476" w14:paraId="08F378C1" w14:textId="77777777" w:rsidTr="00AC55E5">
        <w:tc>
          <w:tcPr>
            <w:tcW w:w="1525" w:type="dxa"/>
            <w:vAlign w:val="center"/>
          </w:tcPr>
          <w:p w14:paraId="20DE62A0" w14:textId="77777777" w:rsidR="0021011A" w:rsidRPr="000E7476" w:rsidRDefault="0021011A" w:rsidP="004D7A01">
            <w:pPr>
              <w:rPr>
                <w:rFonts w:ascii="Bookman Old Style" w:hAnsi="Bookman Old Style"/>
              </w:rPr>
            </w:pPr>
            <w:r w:rsidRPr="000E7476">
              <w:rPr>
                <w:rFonts w:ascii="Bookman Old Style" w:hAnsi="Bookman Old Style"/>
              </w:rPr>
              <w:t>FX</w:t>
            </w:r>
          </w:p>
        </w:tc>
        <w:tc>
          <w:tcPr>
            <w:tcW w:w="7491" w:type="dxa"/>
          </w:tcPr>
          <w:p w14:paraId="0E7A67F9" w14:textId="77777777" w:rsidR="0021011A" w:rsidRPr="000E7476" w:rsidRDefault="0021011A" w:rsidP="004D7A01">
            <w:pPr>
              <w:rPr>
                <w:rFonts w:ascii="Bookman Old Style" w:hAnsi="Bookman Old Style"/>
              </w:rPr>
            </w:pPr>
            <w:r w:rsidRPr="000E7476">
              <w:rPr>
                <w:rFonts w:ascii="Bookman Old Style" w:hAnsi="Bookman Old Style"/>
              </w:rPr>
              <w:t xml:space="preserve">Foreign </w:t>
            </w:r>
            <w:r>
              <w:rPr>
                <w:rFonts w:ascii="Bookman Old Style" w:hAnsi="Bookman Old Style"/>
              </w:rPr>
              <w:t>E</w:t>
            </w:r>
            <w:r w:rsidRPr="000E7476">
              <w:rPr>
                <w:rFonts w:ascii="Bookman Old Style" w:hAnsi="Bookman Old Style"/>
              </w:rPr>
              <w:t>xchange, currencies other than the Malawi Kwacha</w:t>
            </w:r>
          </w:p>
        </w:tc>
      </w:tr>
      <w:tr w:rsidR="0021011A" w:rsidRPr="000E7476" w14:paraId="04A328D6" w14:textId="77777777" w:rsidTr="00AC55E5">
        <w:tc>
          <w:tcPr>
            <w:tcW w:w="1525" w:type="dxa"/>
            <w:vAlign w:val="center"/>
          </w:tcPr>
          <w:p w14:paraId="7F6C278D" w14:textId="77777777" w:rsidR="0021011A" w:rsidRPr="000E7476" w:rsidRDefault="0021011A" w:rsidP="004D7A01">
            <w:pPr>
              <w:rPr>
                <w:rFonts w:ascii="Bookman Old Style" w:hAnsi="Bookman Old Style"/>
              </w:rPr>
            </w:pPr>
            <w:r w:rsidRPr="000E7476">
              <w:rPr>
                <w:rFonts w:ascii="Bookman Old Style" w:hAnsi="Bookman Old Style"/>
              </w:rPr>
              <w:t>FY</w:t>
            </w:r>
          </w:p>
        </w:tc>
        <w:tc>
          <w:tcPr>
            <w:tcW w:w="7491" w:type="dxa"/>
          </w:tcPr>
          <w:p w14:paraId="73364933" w14:textId="7BB440F2" w:rsidR="0021011A" w:rsidRPr="000E7476" w:rsidRDefault="0021011A" w:rsidP="007A0578">
            <w:pPr>
              <w:rPr>
                <w:rFonts w:ascii="Bookman Old Style" w:hAnsi="Bookman Old Style"/>
              </w:rPr>
            </w:pPr>
            <w:r w:rsidRPr="000E7476">
              <w:rPr>
                <w:rFonts w:ascii="Bookman Old Style" w:hAnsi="Bookman Old Style"/>
              </w:rPr>
              <w:t xml:space="preserve">Financial </w:t>
            </w:r>
            <w:r>
              <w:rPr>
                <w:rFonts w:ascii="Bookman Old Style" w:hAnsi="Bookman Old Style"/>
              </w:rPr>
              <w:t>Y</w:t>
            </w:r>
            <w:r w:rsidRPr="000E7476">
              <w:rPr>
                <w:rFonts w:ascii="Bookman Old Style" w:hAnsi="Bookman Old Style"/>
              </w:rPr>
              <w:t xml:space="preserve">ear of Malawi </w:t>
            </w:r>
          </w:p>
        </w:tc>
      </w:tr>
      <w:tr w:rsidR="00C62C3F" w:rsidRPr="000E7476" w14:paraId="68E69E11" w14:textId="77777777" w:rsidTr="00AC55E5">
        <w:tc>
          <w:tcPr>
            <w:tcW w:w="1525" w:type="dxa"/>
            <w:vAlign w:val="center"/>
          </w:tcPr>
          <w:p w14:paraId="7332572E" w14:textId="2C8ADE89" w:rsidR="00C62C3F" w:rsidRPr="000E7476" w:rsidRDefault="00C62C3F" w:rsidP="004D7A01">
            <w:pPr>
              <w:rPr>
                <w:rFonts w:ascii="Bookman Old Style" w:hAnsi="Bookman Old Style"/>
              </w:rPr>
            </w:pPr>
            <w:r>
              <w:rPr>
                <w:rFonts w:ascii="Bookman Old Style" w:hAnsi="Bookman Old Style"/>
              </w:rPr>
              <w:t>GBA</w:t>
            </w:r>
          </w:p>
        </w:tc>
        <w:tc>
          <w:tcPr>
            <w:tcW w:w="7491" w:type="dxa"/>
          </w:tcPr>
          <w:p w14:paraId="6D4771D3" w14:textId="7627A31A" w:rsidR="00C62C3F" w:rsidRPr="000E7476" w:rsidRDefault="00C62C3F" w:rsidP="007A0578">
            <w:pPr>
              <w:rPr>
                <w:rFonts w:ascii="Bookman Old Style" w:hAnsi="Bookman Old Style"/>
              </w:rPr>
            </w:pPr>
            <w:r>
              <w:rPr>
                <w:rFonts w:ascii="Bookman Old Style" w:hAnsi="Bookman Old Style"/>
              </w:rPr>
              <w:t>Green Belt Authority</w:t>
            </w:r>
          </w:p>
        </w:tc>
      </w:tr>
      <w:tr w:rsidR="0021011A" w:rsidRPr="000E7476" w14:paraId="55CACBB6" w14:textId="77777777" w:rsidTr="00AC55E5">
        <w:tc>
          <w:tcPr>
            <w:tcW w:w="1525" w:type="dxa"/>
            <w:vAlign w:val="center"/>
          </w:tcPr>
          <w:p w14:paraId="02623E3D" w14:textId="77777777" w:rsidR="0021011A" w:rsidRPr="000E7476" w:rsidRDefault="0021011A" w:rsidP="004D7A01">
            <w:pPr>
              <w:rPr>
                <w:rFonts w:ascii="Bookman Old Style" w:hAnsi="Bookman Old Style"/>
              </w:rPr>
            </w:pPr>
            <w:r w:rsidRPr="000E7476">
              <w:rPr>
                <w:rFonts w:ascii="Bookman Old Style" w:hAnsi="Bookman Old Style"/>
              </w:rPr>
              <w:t>GBP</w:t>
            </w:r>
          </w:p>
        </w:tc>
        <w:tc>
          <w:tcPr>
            <w:tcW w:w="7491" w:type="dxa"/>
          </w:tcPr>
          <w:p w14:paraId="0DFA48E2" w14:textId="77777777" w:rsidR="0021011A" w:rsidRPr="000E7476" w:rsidRDefault="0021011A" w:rsidP="004D7A01">
            <w:pPr>
              <w:rPr>
                <w:rFonts w:ascii="Bookman Old Style" w:hAnsi="Bookman Old Style"/>
              </w:rPr>
            </w:pPr>
            <w:r w:rsidRPr="000E7476">
              <w:rPr>
                <w:rFonts w:ascii="Bookman Old Style" w:hAnsi="Bookman Old Style"/>
              </w:rPr>
              <w:t>Pound sterling, official currency of the United Kingdom</w:t>
            </w:r>
          </w:p>
        </w:tc>
      </w:tr>
      <w:tr w:rsidR="0021011A" w:rsidRPr="000E7476" w14:paraId="25AF48FF" w14:textId="77777777" w:rsidTr="00AC55E5">
        <w:tc>
          <w:tcPr>
            <w:tcW w:w="1525" w:type="dxa"/>
            <w:vAlign w:val="center"/>
          </w:tcPr>
          <w:p w14:paraId="5FF5EC24" w14:textId="77777777" w:rsidR="0021011A" w:rsidRPr="000E7476" w:rsidRDefault="0021011A" w:rsidP="004D7A01">
            <w:pPr>
              <w:rPr>
                <w:rFonts w:ascii="Bookman Old Style" w:hAnsi="Bookman Old Style"/>
              </w:rPr>
            </w:pPr>
            <w:r w:rsidRPr="000E7476">
              <w:rPr>
                <w:rFonts w:ascii="Bookman Old Style" w:hAnsi="Bookman Old Style"/>
              </w:rPr>
              <w:t>GDP</w:t>
            </w:r>
          </w:p>
        </w:tc>
        <w:tc>
          <w:tcPr>
            <w:tcW w:w="7491" w:type="dxa"/>
          </w:tcPr>
          <w:p w14:paraId="787117E9" w14:textId="77777777" w:rsidR="0021011A" w:rsidRPr="000E7476" w:rsidRDefault="0021011A" w:rsidP="004D7A01">
            <w:pPr>
              <w:rPr>
                <w:rFonts w:ascii="Bookman Old Style" w:hAnsi="Bookman Old Style"/>
              </w:rPr>
            </w:pPr>
            <w:r w:rsidRPr="000E7476">
              <w:rPr>
                <w:rFonts w:ascii="Bookman Old Style" w:hAnsi="Bookman Old Style"/>
              </w:rPr>
              <w:t xml:space="preserve">Gross </w:t>
            </w:r>
            <w:r>
              <w:rPr>
                <w:rFonts w:ascii="Bookman Old Style" w:hAnsi="Bookman Old Style"/>
              </w:rPr>
              <w:t>D</w:t>
            </w:r>
            <w:r w:rsidRPr="000E7476">
              <w:rPr>
                <w:rFonts w:ascii="Bookman Old Style" w:hAnsi="Bookman Old Style"/>
              </w:rPr>
              <w:t xml:space="preserve">omestic </w:t>
            </w:r>
            <w:r>
              <w:rPr>
                <w:rFonts w:ascii="Bookman Old Style" w:hAnsi="Bookman Old Style"/>
              </w:rPr>
              <w:t>P</w:t>
            </w:r>
            <w:r w:rsidRPr="000E7476">
              <w:rPr>
                <w:rFonts w:ascii="Bookman Old Style" w:hAnsi="Bookman Old Style"/>
              </w:rPr>
              <w:t>roduct</w:t>
            </w:r>
          </w:p>
        </w:tc>
      </w:tr>
      <w:tr w:rsidR="004E3E68" w:rsidRPr="000E7476" w14:paraId="7E18791F" w14:textId="77777777" w:rsidTr="00AC55E5">
        <w:tc>
          <w:tcPr>
            <w:tcW w:w="1525" w:type="dxa"/>
            <w:vAlign w:val="center"/>
          </w:tcPr>
          <w:p w14:paraId="489D8B48" w14:textId="6A2DF518" w:rsidR="004E3E68" w:rsidRPr="000E7476" w:rsidRDefault="004E3E68" w:rsidP="004D7A01">
            <w:pPr>
              <w:rPr>
                <w:rFonts w:ascii="Bookman Old Style" w:hAnsi="Bookman Old Style"/>
              </w:rPr>
            </w:pPr>
            <w:r>
              <w:rPr>
                <w:rFonts w:ascii="Bookman Old Style" w:hAnsi="Bookman Old Style"/>
              </w:rPr>
              <w:t>ICT</w:t>
            </w:r>
          </w:p>
        </w:tc>
        <w:tc>
          <w:tcPr>
            <w:tcW w:w="7491" w:type="dxa"/>
          </w:tcPr>
          <w:p w14:paraId="5EF52850" w14:textId="48987F6D" w:rsidR="004E3E68" w:rsidRPr="000E7476" w:rsidRDefault="004E3E68" w:rsidP="004D7A01">
            <w:pPr>
              <w:rPr>
                <w:rFonts w:ascii="Bookman Old Style" w:hAnsi="Bookman Old Style"/>
              </w:rPr>
            </w:pPr>
            <w:r>
              <w:rPr>
                <w:rFonts w:ascii="Bookman Old Style" w:hAnsi="Bookman Old Style"/>
              </w:rPr>
              <w:t>Information and communications technology</w:t>
            </w:r>
          </w:p>
        </w:tc>
      </w:tr>
      <w:tr w:rsidR="0021011A" w:rsidRPr="000E7476" w14:paraId="37D1B33F" w14:textId="77777777" w:rsidTr="00AC55E5">
        <w:tc>
          <w:tcPr>
            <w:tcW w:w="1525" w:type="dxa"/>
            <w:vAlign w:val="center"/>
          </w:tcPr>
          <w:p w14:paraId="50902225" w14:textId="77777777" w:rsidR="0021011A" w:rsidRPr="000E7476" w:rsidRDefault="0021011A" w:rsidP="004D7A01">
            <w:pPr>
              <w:rPr>
                <w:rFonts w:ascii="Bookman Old Style" w:hAnsi="Bookman Old Style"/>
              </w:rPr>
            </w:pPr>
            <w:r w:rsidRPr="000E7476">
              <w:rPr>
                <w:rFonts w:ascii="Bookman Old Style" w:hAnsi="Bookman Old Style"/>
              </w:rPr>
              <w:t>IDA</w:t>
            </w:r>
          </w:p>
        </w:tc>
        <w:tc>
          <w:tcPr>
            <w:tcW w:w="7491" w:type="dxa"/>
          </w:tcPr>
          <w:p w14:paraId="447AD888" w14:textId="77777777" w:rsidR="0021011A" w:rsidRPr="000E7476" w:rsidRDefault="0021011A" w:rsidP="004D7A01">
            <w:pPr>
              <w:rPr>
                <w:rFonts w:ascii="Bookman Old Style" w:hAnsi="Bookman Old Style"/>
              </w:rPr>
            </w:pPr>
            <w:r w:rsidRPr="000E7476">
              <w:rPr>
                <w:rFonts w:ascii="Bookman Old Style" w:hAnsi="Bookman Old Style"/>
              </w:rPr>
              <w:t>International Development Association</w:t>
            </w:r>
          </w:p>
        </w:tc>
      </w:tr>
      <w:tr w:rsidR="0021011A" w:rsidRPr="000E7476" w14:paraId="723BF3D5" w14:textId="77777777" w:rsidTr="00AC55E5">
        <w:tc>
          <w:tcPr>
            <w:tcW w:w="1525" w:type="dxa"/>
            <w:vAlign w:val="center"/>
          </w:tcPr>
          <w:p w14:paraId="02D64990" w14:textId="77777777" w:rsidR="0021011A" w:rsidRPr="000E7476" w:rsidRDefault="0021011A" w:rsidP="004D7A01">
            <w:pPr>
              <w:rPr>
                <w:rFonts w:ascii="Bookman Old Style" w:hAnsi="Bookman Old Style"/>
              </w:rPr>
            </w:pPr>
            <w:r w:rsidRPr="000E7476">
              <w:rPr>
                <w:rFonts w:ascii="Bookman Old Style" w:hAnsi="Bookman Old Style"/>
              </w:rPr>
              <w:t>IFAD</w:t>
            </w:r>
          </w:p>
        </w:tc>
        <w:tc>
          <w:tcPr>
            <w:tcW w:w="7491" w:type="dxa"/>
          </w:tcPr>
          <w:p w14:paraId="71D0CC56" w14:textId="77777777" w:rsidR="0021011A" w:rsidRPr="000E7476" w:rsidRDefault="0021011A" w:rsidP="004D7A01">
            <w:pPr>
              <w:rPr>
                <w:rFonts w:ascii="Bookman Old Style" w:hAnsi="Bookman Old Style"/>
              </w:rPr>
            </w:pPr>
            <w:r w:rsidRPr="000E7476">
              <w:rPr>
                <w:rFonts w:ascii="Bookman Old Style" w:hAnsi="Bookman Old Style"/>
              </w:rPr>
              <w:t>International Fund for Agricultural Development</w:t>
            </w:r>
          </w:p>
        </w:tc>
      </w:tr>
      <w:tr w:rsidR="0021011A" w:rsidRPr="000E7476" w14:paraId="25A3EDBA" w14:textId="77777777" w:rsidTr="00AC55E5">
        <w:tc>
          <w:tcPr>
            <w:tcW w:w="1525" w:type="dxa"/>
            <w:vAlign w:val="center"/>
          </w:tcPr>
          <w:p w14:paraId="410B4661" w14:textId="77777777" w:rsidR="0021011A" w:rsidRPr="000E7476" w:rsidRDefault="0021011A" w:rsidP="004D7A01">
            <w:pPr>
              <w:rPr>
                <w:rFonts w:ascii="Bookman Old Style" w:hAnsi="Bookman Old Style"/>
              </w:rPr>
            </w:pPr>
            <w:r w:rsidRPr="000E7476">
              <w:rPr>
                <w:rFonts w:ascii="Bookman Old Style" w:hAnsi="Bookman Old Style"/>
              </w:rPr>
              <w:t>IMF</w:t>
            </w:r>
          </w:p>
        </w:tc>
        <w:tc>
          <w:tcPr>
            <w:tcW w:w="7491" w:type="dxa"/>
          </w:tcPr>
          <w:p w14:paraId="6897E11C" w14:textId="77777777" w:rsidR="0021011A" w:rsidRPr="000E7476" w:rsidRDefault="0021011A" w:rsidP="004D7A01">
            <w:pPr>
              <w:rPr>
                <w:rFonts w:ascii="Bookman Old Style" w:hAnsi="Bookman Old Style"/>
              </w:rPr>
            </w:pPr>
            <w:r w:rsidRPr="000E7476">
              <w:rPr>
                <w:rFonts w:ascii="Bookman Old Style" w:hAnsi="Bookman Old Style"/>
              </w:rPr>
              <w:t>International Monetary Fund</w:t>
            </w:r>
          </w:p>
        </w:tc>
      </w:tr>
      <w:tr w:rsidR="0021011A" w:rsidRPr="000E7476" w14:paraId="28F50404" w14:textId="77777777" w:rsidTr="00AC55E5">
        <w:tc>
          <w:tcPr>
            <w:tcW w:w="1525" w:type="dxa"/>
            <w:vAlign w:val="center"/>
          </w:tcPr>
          <w:p w14:paraId="1CE3CA65" w14:textId="77777777" w:rsidR="0021011A" w:rsidRPr="000E7476" w:rsidRDefault="0021011A" w:rsidP="004D7A01">
            <w:pPr>
              <w:rPr>
                <w:rFonts w:ascii="Bookman Old Style" w:hAnsi="Bookman Old Style"/>
              </w:rPr>
            </w:pPr>
            <w:r w:rsidRPr="000E7476">
              <w:rPr>
                <w:rFonts w:ascii="Bookman Old Style" w:hAnsi="Bookman Old Style"/>
              </w:rPr>
              <w:t>IR</w:t>
            </w:r>
          </w:p>
        </w:tc>
        <w:tc>
          <w:tcPr>
            <w:tcW w:w="7491" w:type="dxa"/>
          </w:tcPr>
          <w:p w14:paraId="69D845A7" w14:textId="77777777" w:rsidR="0021011A" w:rsidRPr="000E7476" w:rsidRDefault="0021011A" w:rsidP="004D7A01">
            <w:pPr>
              <w:rPr>
                <w:rFonts w:ascii="Bookman Old Style" w:hAnsi="Bookman Old Style"/>
              </w:rPr>
            </w:pPr>
            <w:r w:rsidRPr="000E7476">
              <w:rPr>
                <w:rFonts w:ascii="Bookman Old Style" w:hAnsi="Bookman Old Style"/>
              </w:rPr>
              <w:t xml:space="preserve">Interest </w:t>
            </w:r>
            <w:r>
              <w:rPr>
                <w:rFonts w:ascii="Bookman Old Style" w:hAnsi="Bookman Old Style"/>
              </w:rPr>
              <w:t>R</w:t>
            </w:r>
            <w:r w:rsidRPr="000E7476">
              <w:rPr>
                <w:rFonts w:ascii="Bookman Old Style" w:hAnsi="Bookman Old Style"/>
              </w:rPr>
              <w:t>ate</w:t>
            </w:r>
          </w:p>
        </w:tc>
      </w:tr>
      <w:tr w:rsidR="0021011A" w:rsidRPr="000E7476" w14:paraId="546AE539" w14:textId="77777777" w:rsidTr="00AC55E5">
        <w:tc>
          <w:tcPr>
            <w:tcW w:w="1525" w:type="dxa"/>
            <w:vAlign w:val="center"/>
          </w:tcPr>
          <w:p w14:paraId="5AA7D9F4" w14:textId="77777777" w:rsidR="0021011A" w:rsidRPr="000E7476" w:rsidRDefault="0021011A" w:rsidP="004D7A01">
            <w:pPr>
              <w:rPr>
                <w:rFonts w:ascii="Bookman Old Style" w:hAnsi="Bookman Old Style"/>
              </w:rPr>
            </w:pPr>
            <w:r w:rsidRPr="000E7476">
              <w:rPr>
                <w:rFonts w:ascii="Bookman Old Style" w:hAnsi="Bookman Old Style"/>
              </w:rPr>
              <w:t>JPY</w:t>
            </w:r>
          </w:p>
        </w:tc>
        <w:tc>
          <w:tcPr>
            <w:tcW w:w="7491" w:type="dxa"/>
          </w:tcPr>
          <w:p w14:paraId="746150EF" w14:textId="77777777" w:rsidR="0021011A" w:rsidRPr="000E7476" w:rsidRDefault="0021011A" w:rsidP="004D7A01">
            <w:pPr>
              <w:rPr>
                <w:rFonts w:ascii="Bookman Old Style" w:hAnsi="Bookman Old Style"/>
              </w:rPr>
            </w:pPr>
            <w:r w:rsidRPr="000E7476">
              <w:rPr>
                <w:rFonts w:ascii="Bookman Old Style" w:hAnsi="Bookman Old Style"/>
              </w:rPr>
              <w:t xml:space="preserve">Japanese </w:t>
            </w:r>
            <w:r>
              <w:rPr>
                <w:rFonts w:ascii="Bookman Old Style" w:hAnsi="Bookman Old Style"/>
              </w:rPr>
              <w:t>Y</w:t>
            </w:r>
            <w:r w:rsidRPr="000E7476">
              <w:rPr>
                <w:rFonts w:ascii="Bookman Old Style" w:hAnsi="Bookman Old Style"/>
              </w:rPr>
              <w:t>en, official currency of Japan</w:t>
            </w:r>
          </w:p>
        </w:tc>
      </w:tr>
      <w:tr w:rsidR="0021011A" w:rsidRPr="000E7476" w14:paraId="72ABFD7C" w14:textId="77777777" w:rsidTr="00AC55E5">
        <w:tc>
          <w:tcPr>
            <w:tcW w:w="1525" w:type="dxa"/>
            <w:vAlign w:val="center"/>
          </w:tcPr>
          <w:p w14:paraId="4EFB4347" w14:textId="77777777" w:rsidR="0021011A" w:rsidRPr="000E7476" w:rsidRDefault="0021011A" w:rsidP="004D7A01">
            <w:pPr>
              <w:rPr>
                <w:rFonts w:ascii="Bookman Old Style" w:hAnsi="Bookman Old Style"/>
              </w:rPr>
            </w:pPr>
            <w:r w:rsidRPr="000E7476">
              <w:rPr>
                <w:rFonts w:ascii="Bookman Old Style" w:hAnsi="Bookman Old Style"/>
              </w:rPr>
              <w:t>MK</w:t>
            </w:r>
          </w:p>
        </w:tc>
        <w:tc>
          <w:tcPr>
            <w:tcW w:w="7491" w:type="dxa"/>
          </w:tcPr>
          <w:p w14:paraId="1850E69E" w14:textId="77777777" w:rsidR="0021011A" w:rsidRPr="000E7476" w:rsidRDefault="0021011A" w:rsidP="004D7A01">
            <w:pPr>
              <w:rPr>
                <w:rFonts w:ascii="Bookman Old Style" w:hAnsi="Bookman Old Style"/>
              </w:rPr>
            </w:pPr>
            <w:r w:rsidRPr="000E7476">
              <w:rPr>
                <w:rFonts w:ascii="Bookman Old Style" w:hAnsi="Bookman Old Style"/>
              </w:rPr>
              <w:t>Malawi Kwacha, official currency of Malawi</w:t>
            </w:r>
          </w:p>
        </w:tc>
      </w:tr>
      <w:tr w:rsidR="0021011A" w:rsidRPr="000E7476" w14:paraId="4BEBDD63" w14:textId="77777777" w:rsidTr="00AC55E5">
        <w:tc>
          <w:tcPr>
            <w:tcW w:w="1525" w:type="dxa"/>
            <w:vAlign w:val="center"/>
          </w:tcPr>
          <w:p w14:paraId="4B285FD4" w14:textId="77777777" w:rsidR="0021011A" w:rsidRPr="000E7476" w:rsidRDefault="0021011A" w:rsidP="004D7A01">
            <w:pPr>
              <w:rPr>
                <w:rFonts w:ascii="Bookman Old Style" w:hAnsi="Bookman Old Style"/>
              </w:rPr>
            </w:pPr>
            <w:r w:rsidRPr="000E7476">
              <w:rPr>
                <w:rFonts w:ascii="Bookman Old Style" w:hAnsi="Bookman Old Style"/>
              </w:rPr>
              <w:t>MTDS</w:t>
            </w:r>
          </w:p>
        </w:tc>
        <w:tc>
          <w:tcPr>
            <w:tcW w:w="7491" w:type="dxa"/>
          </w:tcPr>
          <w:p w14:paraId="66F12380" w14:textId="77777777" w:rsidR="0021011A" w:rsidRPr="000E7476" w:rsidRDefault="0021011A" w:rsidP="004D7A01">
            <w:pPr>
              <w:rPr>
                <w:rFonts w:ascii="Bookman Old Style" w:hAnsi="Bookman Old Style"/>
              </w:rPr>
            </w:pPr>
            <w:r w:rsidRPr="000E7476">
              <w:rPr>
                <w:rFonts w:ascii="Bookman Old Style" w:hAnsi="Bookman Old Style"/>
              </w:rPr>
              <w:t>Medium-</w:t>
            </w:r>
            <w:r>
              <w:rPr>
                <w:rFonts w:ascii="Bookman Old Style" w:hAnsi="Bookman Old Style"/>
              </w:rPr>
              <w:t>T</w:t>
            </w:r>
            <w:r w:rsidRPr="000E7476">
              <w:rPr>
                <w:rFonts w:ascii="Bookman Old Style" w:hAnsi="Bookman Old Style"/>
              </w:rPr>
              <w:t xml:space="preserve">erm </w:t>
            </w:r>
            <w:r>
              <w:rPr>
                <w:rFonts w:ascii="Bookman Old Style" w:hAnsi="Bookman Old Style"/>
              </w:rPr>
              <w:t>D</w:t>
            </w:r>
            <w:r w:rsidRPr="000E7476">
              <w:rPr>
                <w:rFonts w:ascii="Bookman Old Style" w:hAnsi="Bookman Old Style"/>
              </w:rPr>
              <w:t xml:space="preserve">ebt </w:t>
            </w:r>
            <w:r>
              <w:rPr>
                <w:rFonts w:ascii="Bookman Old Style" w:hAnsi="Bookman Old Style"/>
              </w:rPr>
              <w:t>M</w:t>
            </w:r>
            <w:r w:rsidRPr="000E7476">
              <w:rPr>
                <w:rFonts w:ascii="Bookman Old Style" w:hAnsi="Bookman Old Style"/>
              </w:rPr>
              <w:t xml:space="preserve">anagement </w:t>
            </w:r>
            <w:r>
              <w:rPr>
                <w:rFonts w:ascii="Bookman Old Style" w:hAnsi="Bookman Old Style"/>
              </w:rPr>
              <w:t>S</w:t>
            </w:r>
            <w:r w:rsidRPr="000E7476">
              <w:rPr>
                <w:rFonts w:ascii="Bookman Old Style" w:hAnsi="Bookman Old Style"/>
              </w:rPr>
              <w:t>trategy</w:t>
            </w:r>
          </w:p>
        </w:tc>
      </w:tr>
      <w:tr w:rsidR="00C62C3F" w:rsidRPr="000E7476" w14:paraId="52618C59" w14:textId="77777777" w:rsidTr="00AC55E5">
        <w:tc>
          <w:tcPr>
            <w:tcW w:w="1525" w:type="dxa"/>
            <w:vAlign w:val="center"/>
          </w:tcPr>
          <w:p w14:paraId="14C6B44B" w14:textId="668D7BCA" w:rsidR="00C62C3F" w:rsidRPr="000E7476" w:rsidRDefault="00C62C3F" w:rsidP="004D7A01">
            <w:pPr>
              <w:rPr>
                <w:rFonts w:ascii="Bookman Old Style" w:hAnsi="Bookman Old Style"/>
              </w:rPr>
            </w:pPr>
            <w:r>
              <w:rPr>
                <w:rFonts w:ascii="Bookman Old Style" w:hAnsi="Bookman Old Style"/>
              </w:rPr>
              <w:t>NEEF</w:t>
            </w:r>
          </w:p>
        </w:tc>
        <w:tc>
          <w:tcPr>
            <w:tcW w:w="7491" w:type="dxa"/>
          </w:tcPr>
          <w:p w14:paraId="25FF68BB" w14:textId="50D4B9BC" w:rsidR="00C62C3F" w:rsidRPr="000E7476" w:rsidRDefault="00C62C3F" w:rsidP="004D7A01">
            <w:pPr>
              <w:rPr>
                <w:rFonts w:ascii="Bookman Old Style" w:hAnsi="Bookman Old Style"/>
              </w:rPr>
            </w:pPr>
            <w:r w:rsidRPr="004B7EC8">
              <w:rPr>
                <w:rFonts w:ascii="Bookman Old Style" w:hAnsi="Bookman Old Style"/>
              </w:rPr>
              <w:t>National Economic Empowerment Fund Limited</w:t>
            </w:r>
          </w:p>
        </w:tc>
      </w:tr>
      <w:tr w:rsidR="0021011A" w:rsidRPr="000E7476" w14:paraId="7282919B" w14:textId="77777777" w:rsidTr="00AC55E5">
        <w:tc>
          <w:tcPr>
            <w:tcW w:w="1525" w:type="dxa"/>
            <w:vAlign w:val="center"/>
          </w:tcPr>
          <w:p w14:paraId="3298EA6B" w14:textId="77777777" w:rsidR="0021011A" w:rsidRPr="000E7476" w:rsidRDefault="0021011A" w:rsidP="004D7A01">
            <w:pPr>
              <w:rPr>
                <w:rFonts w:ascii="Bookman Old Style" w:hAnsi="Bookman Old Style"/>
              </w:rPr>
            </w:pPr>
            <w:r w:rsidRPr="000E7476">
              <w:rPr>
                <w:rFonts w:ascii="Bookman Old Style" w:hAnsi="Bookman Old Style"/>
              </w:rPr>
              <w:t>PV</w:t>
            </w:r>
          </w:p>
        </w:tc>
        <w:tc>
          <w:tcPr>
            <w:tcW w:w="7491" w:type="dxa"/>
          </w:tcPr>
          <w:p w14:paraId="2F65E157" w14:textId="77777777" w:rsidR="0021011A" w:rsidRPr="000E7476" w:rsidRDefault="0021011A" w:rsidP="004D7A01">
            <w:pPr>
              <w:rPr>
                <w:rFonts w:ascii="Bookman Old Style" w:hAnsi="Bookman Old Style"/>
              </w:rPr>
            </w:pPr>
            <w:r w:rsidRPr="000E7476">
              <w:rPr>
                <w:rFonts w:ascii="Bookman Old Style" w:hAnsi="Bookman Old Style"/>
              </w:rPr>
              <w:t xml:space="preserve">Present </w:t>
            </w:r>
            <w:r>
              <w:rPr>
                <w:rFonts w:ascii="Bookman Old Style" w:hAnsi="Bookman Old Style"/>
              </w:rPr>
              <w:t>V</w:t>
            </w:r>
            <w:r w:rsidRPr="000E7476">
              <w:rPr>
                <w:rFonts w:ascii="Bookman Old Style" w:hAnsi="Bookman Old Style"/>
              </w:rPr>
              <w:t>alue</w:t>
            </w:r>
          </w:p>
        </w:tc>
      </w:tr>
      <w:tr w:rsidR="0021011A" w:rsidRPr="000E7476" w14:paraId="290365AE" w14:textId="77777777" w:rsidTr="00AC55E5">
        <w:tc>
          <w:tcPr>
            <w:tcW w:w="1525" w:type="dxa"/>
            <w:vAlign w:val="center"/>
          </w:tcPr>
          <w:p w14:paraId="1618E0B2" w14:textId="77777777" w:rsidR="0021011A" w:rsidRPr="000E7476" w:rsidRDefault="0021011A" w:rsidP="004D7A01">
            <w:pPr>
              <w:rPr>
                <w:rFonts w:ascii="Bookman Old Style" w:hAnsi="Bookman Old Style"/>
              </w:rPr>
            </w:pPr>
            <w:r w:rsidRPr="000E7476">
              <w:rPr>
                <w:rFonts w:ascii="Bookman Old Style" w:hAnsi="Bookman Old Style"/>
              </w:rPr>
              <w:t>RBM</w:t>
            </w:r>
          </w:p>
        </w:tc>
        <w:tc>
          <w:tcPr>
            <w:tcW w:w="7491" w:type="dxa"/>
          </w:tcPr>
          <w:p w14:paraId="5370CA08" w14:textId="77777777" w:rsidR="0021011A" w:rsidRPr="000E7476" w:rsidRDefault="0021011A" w:rsidP="004D7A01">
            <w:pPr>
              <w:rPr>
                <w:rFonts w:ascii="Bookman Old Style" w:hAnsi="Bookman Old Style"/>
              </w:rPr>
            </w:pPr>
            <w:r w:rsidRPr="000E7476">
              <w:rPr>
                <w:rFonts w:ascii="Bookman Old Style" w:hAnsi="Bookman Old Style"/>
              </w:rPr>
              <w:t>Reserve Bank of Malawi</w:t>
            </w:r>
          </w:p>
        </w:tc>
      </w:tr>
      <w:tr w:rsidR="0021011A" w:rsidRPr="000E7476" w14:paraId="46041296" w14:textId="77777777" w:rsidTr="00AC55E5">
        <w:tc>
          <w:tcPr>
            <w:tcW w:w="1525" w:type="dxa"/>
            <w:vAlign w:val="center"/>
          </w:tcPr>
          <w:p w14:paraId="7B0ADCFC" w14:textId="77777777" w:rsidR="0021011A" w:rsidRPr="000E7476" w:rsidRDefault="0021011A" w:rsidP="004D7A01">
            <w:pPr>
              <w:rPr>
                <w:rFonts w:ascii="Bookman Old Style" w:hAnsi="Bookman Old Style"/>
              </w:rPr>
            </w:pPr>
            <w:r w:rsidRPr="000E7476">
              <w:rPr>
                <w:rFonts w:ascii="Bookman Old Style" w:hAnsi="Bookman Old Style"/>
              </w:rPr>
              <w:t>SDR</w:t>
            </w:r>
          </w:p>
        </w:tc>
        <w:tc>
          <w:tcPr>
            <w:tcW w:w="7491" w:type="dxa"/>
          </w:tcPr>
          <w:p w14:paraId="6ACC9885" w14:textId="71D1A5CE" w:rsidR="0021011A" w:rsidRPr="000E7476" w:rsidRDefault="0021011A" w:rsidP="00DB19F7">
            <w:pPr>
              <w:rPr>
                <w:rFonts w:ascii="Bookman Old Style" w:hAnsi="Bookman Old Style"/>
              </w:rPr>
            </w:pPr>
            <w:r w:rsidRPr="000E7476">
              <w:rPr>
                <w:rFonts w:ascii="Bookman Old Style" w:hAnsi="Bookman Old Style"/>
              </w:rPr>
              <w:t>Special Drawing Rights,</w:t>
            </w:r>
            <w:r w:rsidR="00360E38">
              <w:rPr>
                <w:rFonts w:ascii="Bookman Old Style" w:hAnsi="Bookman Old Style"/>
              </w:rPr>
              <w:t xml:space="preserve"> </w:t>
            </w:r>
            <w:r w:rsidR="00DB19F7">
              <w:rPr>
                <w:rFonts w:ascii="Bookman Old Style" w:hAnsi="Bookman Old Style"/>
              </w:rPr>
              <w:t xml:space="preserve">unit of account based on five currencies- </w:t>
            </w:r>
            <w:r w:rsidR="00DB19F7" w:rsidRPr="000E7476">
              <w:rPr>
                <w:rFonts w:ascii="Bookman Old Style" w:hAnsi="Bookman Old Style"/>
              </w:rPr>
              <w:t xml:space="preserve">United States </w:t>
            </w:r>
            <w:r w:rsidR="00DB19F7">
              <w:rPr>
                <w:rFonts w:ascii="Bookman Old Style" w:hAnsi="Bookman Old Style"/>
              </w:rPr>
              <w:t>D</w:t>
            </w:r>
            <w:r w:rsidR="00DB19F7" w:rsidRPr="000E7476">
              <w:rPr>
                <w:rFonts w:ascii="Bookman Old Style" w:hAnsi="Bookman Old Style"/>
              </w:rPr>
              <w:t>ollar</w:t>
            </w:r>
            <w:r w:rsidR="00DB19F7">
              <w:rPr>
                <w:rFonts w:ascii="Bookman Old Style" w:hAnsi="Bookman Old Style"/>
              </w:rPr>
              <w:t>, EURO, CNY, JPY and GBP</w:t>
            </w:r>
          </w:p>
        </w:tc>
      </w:tr>
      <w:tr w:rsidR="0021011A" w:rsidRPr="000E7476" w14:paraId="6EF3F826" w14:textId="77777777" w:rsidTr="00AC55E5">
        <w:tc>
          <w:tcPr>
            <w:tcW w:w="1525" w:type="dxa"/>
            <w:vAlign w:val="center"/>
          </w:tcPr>
          <w:p w14:paraId="2549F077" w14:textId="77777777" w:rsidR="0021011A" w:rsidRPr="000E7476" w:rsidRDefault="0021011A" w:rsidP="004D7A01">
            <w:pPr>
              <w:rPr>
                <w:rFonts w:ascii="Bookman Old Style" w:hAnsi="Bookman Old Style"/>
              </w:rPr>
            </w:pPr>
            <w:r w:rsidRPr="000E7476">
              <w:rPr>
                <w:rFonts w:ascii="Bookman Old Style" w:hAnsi="Bookman Old Style"/>
              </w:rPr>
              <w:t>TPD</w:t>
            </w:r>
          </w:p>
        </w:tc>
        <w:tc>
          <w:tcPr>
            <w:tcW w:w="7491" w:type="dxa"/>
          </w:tcPr>
          <w:p w14:paraId="209AD542" w14:textId="77777777" w:rsidR="0021011A" w:rsidRPr="000E7476" w:rsidRDefault="0021011A" w:rsidP="004D7A01">
            <w:pPr>
              <w:rPr>
                <w:rFonts w:ascii="Bookman Old Style" w:hAnsi="Bookman Old Style"/>
              </w:rPr>
            </w:pPr>
            <w:r w:rsidRPr="000E7476">
              <w:rPr>
                <w:rFonts w:ascii="Bookman Old Style" w:hAnsi="Bookman Old Style"/>
              </w:rPr>
              <w:t xml:space="preserve">Total </w:t>
            </w:r>
            <w:r>
              <w:rPr>
                <w:rFonts w:ascii="Bookman Old Style" w:hAnsi="Bookman Old Style"/>
              </w:rPr>
              <w:t>P</w:t>
            </w:r>
            <w:r w:rsidRPr="000E7476">
              <w:rPr>
                <w:rFonts w:ascii="Bookman Old Style" w:hAnsi="Bookman Old Style"/>
              </w:rPr>
              <w:t>ublic Debt</w:t>
            </w:r>
          </w:p>
        </w:tc>
      </w:tr>
      <w:tr w:rsidR="0021011A" w:rsidRPr="000E7476" w14:paraId="457C34CC" w14:textId="77777777" w:rsidTr="00AC55E5">
        <w:tc>
          <w:tcPr>
            <w:tcW w:w="1525" w:type="dxa"/>
            <w:vAlign w:val="center"/>
          </w:tcPr>
          <w:p w14:paraId="2083CC55" w14:textId="77777777" w:rsidR="0021011A" w:rsidRPr="000E7476" w:rsidRDefault="0021011A" w:rsidP="004D7A01">
            <w:pPr>
              <w:rPr>
                <w:rFonts w:ascii="Bookman Old Style" w:hAnsi="Bookman Old Style"/>
              </w:rPr>
            </w:pPr>
            <w:r w:rsidRPr="000E7476">
              <w:rPr>
                <w:rFonts w:ascii="Bookman Old Style" w:hAnsi="Bookman Old Style"/>
              </w:rPr>
              <w:t>USD</w:t>
            </w:r>
          </w:p>
        </w:tc>
        <w:tc>
          <w:tcPr>
            <w:tcW w:w="7491" w:type="dxa"/>
          </w:tcPr>
          <w:p w14:paraId="7B429C89" w14:textId="531E3829" w:rsidR="000C6A54" w:rsidRPr="000E7476" w:rsidRDefault="0021011A" w:rsidP="004D7A01">
            <w:pPr>
              <w:rPr>
                <w:rFonts w:ascii="Bookman Old Style" w:hAnsi="Bookman Old Style"/>
              </w:rPr>
            </w:pPr>
            <w:r w:rsidRPr="000E7476">
              <w:rPr>
                <w:rFonts w:ascii="Bookman Old Style" w:hAnsi="Bookman Old Style"/>
              </w:rPr>
              <w:t xml:space="preserve">United States </w:t>
            </w:r>
            <w:r>
              <w:rPr>
                <w:rFonts w:ascii="Bookman Old Style" w:hAnsi="Bookman Old Style"/>
              </w:rPr>
              <w:t>D</w:t>
            </w:r>
            <w:r w:rsidRPr="000E7476">
              <w:rPr>
                <w:rFonts w:ascii="Bookman Old Style" w:hAnsi="Bookman Old Style"/>
              </w:rPr>
              <w:t xml:space="preserve">ollar, official currency of the United States of America </w:t>
            </w:r>
          </w:p>
        </w:tc>
      </w:tr>
    </w:tbl>
    <w:p w14:paraId="490247DB" w14:textId="0A7C210F" w:rsidR="0021011A" w:rsidRDefault="0021011A" w:rsidP="0021011A">
      <w:pPr>
        <w:spacing w:after="160" w:line="259" w:lineRule="auto"/>
        <w:rPr>
          <w:rFonts w:ascii="Bookman Old Style" w:hAnsi="Bookman Old Style"/>
          <w:b/>
          <w:sz w:val="28"/>
          <w:szCs w:val="28"/>
        </w:rPr>
      </w:pPr>
      <w:bookmarkStart w:id="11" w:name="_Toc394666235"/>
      <w:bookmarkStart w:id="12" w:name="_Toc433725558"/>
      <w:bookmarkEnd w:id="0"/>
    </w:p>
    <w:p w14:paraId="7011C05A" w14:textId="693DF56C" w:rsidR="004E3E68" w:rsidRDefault="004E3E68" w:rsidP="0021011A">
      <w:pPr>
        <w:spacing w:after="160" w:line="259" w:lineRule="auto"/>
        <w:rPr>
          <w:rFonts w:ascii="Bookman Old Style" w:hAnsi="Bookman Old Style"/>
          <w:b/>
          <w:sz w:val="28"/>
          <w:szCs w:val="28"/>
        </w:rPr>
      </w:pPr>
    </w:p>
    <w:p w14:paraId="778B7CEA" w14:textId="5FC9BF8B" w:rsidR="0021011A" w:rsidRDefault="0021011A" w:rsidP="0021011A">
      <w:pPr>
        <w:pStyle w:val="Heading1"/>
        <w:spacing w:line="360" w:lineRule="auto"/>
        <w:rPr>
          <w:szCs w:val="28"/>
        </w:rPr>
      </w:pPr>
      <w:bookmarkStart w:id="13" w:name="_Toc88660832"/>
      <w:r w:rsidRPr="007314EA">
        <w:rPr>
          <w:szCs w:val="28"/>
        </w:rPr>
        <w:lastRenderedPageBreak/>
        <w:t>SECTION I: RECENT PUBLIC</w:t>
      </w:r>
      <w:bookmarkStart w:id="14" w:name="_Toc394666432"/>
      <w:bookmarkStart w:id="15" w:name="_Toc433725559"/>
      <w:bookmarkEnd w:id="11"/>
      <w:bookmarkEnd w:id="12"/>
      <w:r>
        <w:rPr>
          <w:szCs w:val="28"/>
        </w:rPr>
        <w:t xml:space="preserve"> </w:t>
      </w:r>
      <w:r w:rsidRPr="007314EA">
        <w:rPr>
          <w:szCs w:val="28"/>
        </w:rPr>
        <w:t>DEBT MANAGEMENT</w:t>
      </w:r>
      <w:bookmarkEnd w:id="14"/>
      <w:bookmarkEnd w:id="15"/>
      <w:r>
        <w:rPr>
          <w:szCs w:val="28"/>
        </w:rPr>
        <w:t xml:space="preserve"> OPERATIONS ISSUES</w:t>
      </w:r>
      <w:bookmarkEnd w:id="13"/>
    </w:p>
    <w:p w14:paraId="083A17DC" w14:textId="4D1F3705" w:rsidR="00A74308" w:rsidRPr="00A74308" w:rsidRDefault="00A74308" w:rsidP="00A74308"/>
    <w:p w14:paraId="2239CD34" w14:textId="180D6385" w:rsidR="00C90DE3" w:rsidRDefault="0021011A" w:rsidP="00D649CF">
      <w:pPr>
        <w:pStyle w:val="Heading2"/>
        <w:numPr>
          <w:ilvl w:val="1"/>
          <w:numId w:val="21"/>
        </w:numPr>
        <w:rPr>
          <w:rFonts w:cs="Times New Roman"/>
          <w:bCs w:val="0"/>
          <w:iCs w:val="0"/>
          <w:lang w:val="en-US"/>
        </w:rPr>
      </w:pPr>
      <w:bookmarkStart w:id="16" w:name="_Toc433725560"/>
      <w:bookmarkStart w:id="17" w:name="_Toc88660833"/>
      <w:r w:rsidRPr="003F2330">
        <w:rPr>
          <w:rFonts w:cs="Times New Roman"/>
          <w:bCs w:val="0"/>
          <w:iCs w:val="0"/>
          <w:lang w:val="en-US"/>
        </w:rPr>
        <w:t>Debt Management Policy Objective</w:t>
      </w:r>
      <w:bookmarkEnd w:id="16"/>
      <w:bookmarkEnd w:id="17"/>
    </w:p>
    <w:p w14:paraId="7602F837" w14:textId="77777777" w:rsidR="00D649CF" w:rsidRPr="00D649CF" w:rsidRDefault="00D649CF" w:rsidP="00D649CF">
      <w:pPr>
        <w:rPr>
          <w:lang w:val="en-US"/>
        </w:rPr>
      </w:pPr>
    </w:p>
    <w:p w14:paraId="414772D4" w14:textId="77777777" w:rsidR="009A4B0B" w:rsidRDefault="0021011A" w:rsidP="0021011A">
      <w:pPr>
        <w:pStyle w:val="ParagraphNumbering"/>
        <w:numPr>
          <w:ilvl w:val="0"/>
          <w:numId w:val="0"/>
        </w:numPr>
        <w:spacing w:line="360" w:lineRule="auto"/>
        <w:jc w:val="both"/>
        <w:rPr>
          <w:rFonts w:ascii="Bookman Old Style" w:hAnsi="Bookman Old Style"/>
        </w:rPr>
      </w:pPr>
      <w:r w:rsidRPr="007314EA">
        <w:rPr>
          <w:rFonts w:ascii="Bookman Old Style" w:hAnsi="Bookman Old Style"/>
        </w:rPr>
        <w:t xml:space="preserve">The primary objective of debt management is to ensure that financing </w:t>
      </w:r>
      <w:r>
        <w:rPr>
          <w:rFonts w:ascii="Bookman Old Style" w:hAnsi="Bookman Old Style"/>
        </w:rPr>
        <w:t xml:space="preserve">needs </w:t>
      </w:r>
      <w:r w:rsidRPr="007314EA">
        <w:rPr>
          <w:rFonts w:ascii="Bookman Old Style" w:hAnsi="Bookman Old Style"/>
        </w:rPr>
        <w:t xml:space="preserve">and debt service obligations of the Government are met adequately and at the lowest possible cost and </w:t>
      </w:r>
      <w:r>
        <w:rPr>
          <w:rFonts w:ascii="Bookman Old Style" w:hAnsi="Bookman Old Style"/>
        </w:rPr>
        <w:t xml:space="preserve">a </w:t>
      </w:r>
      <w:r w:rsidRPr="007314EA">
        <w:rPr>
          <w:rFonts w:ascii="Bookman Old Style" w:hAnsi="Bookman Old Style"/>
        </w:rPr>
        <w:t>reasonable level of risk. The second</w:t>
      </w:r>
      <w:r>
        <w:rPr>
          <w:rFonts w:ascii="Bookman Old Style" w:hAnsi="Bookman Old Style"/>
        </w:rPr>
        <w:t>ary</w:t>
      </w:r>
      <w:r w:rsidRPr="007314EA">
        <w:rPr>
          <w:rFonts w:ascii="Bookman Old Style" w:hAnsi="Bookman Old Style"/>
        </w:rPr>
        <w:t xml:space="preserve"> objective is to support the development of a vibrant domestic debt market. </w:t>
      </w:r>
    </w:p>
    <w:p w14:paraId="76C5CD85" w14:textId="61A63B8D" w:rsidR="0021011A" w:rsidRPr="007314EA" w:rsidRDefault="0021011A" w:rsidP="0021011A">
      <w:pPr>
        <w:pStyle w:val="ParagraphNumbering"/>
        <w:numPr>
          <w:ilvl w:val="0"/>
          <w:numId w:val="0"/>
        </w:numPr>
        <w:spacing w:line="360" w:lineRule="auto"/>
        <w:jc w:val="both"/>
        <w:rPr>
          <w:rFonts w:ascii="Bookman Old Style" w:hAnsi="Bookman Old Style"/>
        </w:rPr>
      </w:pPr>
      <w:r>
        <w:rPr>
          <w:rFonts w:ascii="Bookman Old Style" w:hAnsi="Bookman Old Style"/>
        </w:rPr>
        <w:t>The G</w:t>
      </w:r>
      <w:r w:rsidR="007A0578">
        <w:rPr>
          <w:rFonts w:ascii="Bookman Old Style" w:hAnsi="Bookman Old Style"/>
        </w:rPr>
        <w:t xml:space="preserve">overnment </w:t>
      </w:r>
      <w:r w:rsidRPr="007314EA">
        <w:rPr>
          <w:rFonts w:ascii="Bookman Old Style" w:hAnsi="Bookman Old Style"/>
        </w:rPr>
        <w:t>continue</w:t>
      </w:r>
      <w:r w:rsidR="007A0578">
        <w:rPr>
          <w:rFonts w:ascii="Bookman Old Style" w:hAnsi="Bookman Old Style"/>
        </w:rPr>
        <w:t>s with its policy</w:t>
      </w:r>
      <w:r w:rsidRPr="007314EA">
        <w:rPr>
          <w:rFonts w:ascii="Bookman Old Style" w:hAnsi="Bookman Old Style"/>
        </w:rPr>
        <w:t xml:space="preserve"> of contracting external loans on concessional terms and restructuring of the domestic debt from predominantly short-term treasury bills to medium to long term papers. </w:t>
      </w:r>
    </w:p>
    <w:p w14:paraId="1D6A5D1B" w14:textId="77976379" w:rsidR="0021011A" w:rsidRDefault="0021011A" w:rsidP="0021011A">
      <w:pPr>
        <w:pStyle w:val="Heading2"/>
      </w:pPr>
      <w:bookmarkStart w:id="18" w:name="_Toc433725561"/>
      <w:bookmarkStart w:id="19" w:name="_Toc88660834"/>
      <w:r w:rsidRPr="007314EA">
        <w:rPr>
          <w:rFonts w:cs="Times New Roman"/>
          <w:bCs w:val="0"/>
          <w:iCs w:val="0"/>
          <w:lang w:val="en-US"/>
        </w:rPr>
        <w:t>1.2</w:t>
      </w:r>
      <w:r>
        <w:rPr>
          <w:rFonts w:cs="Times New Roman"/>
          <w:b w:val="0"/>
          <w:bCs w:val="0"/>
          <w:iCs w:val="0"/>
          <w:lang w:val="en-US"/>
        </w:rPr>
        <w:t xml:space="preserve"> </w:t>
      </w:r>
      <w:r w:rsidRPr="007314EA">
        <w:t>Macro-economic Developments</w:t>
      </w:r>
      <w:bookmarkEnd w:id="18"/>
      <w:bookmarkEnd w:id="19"/>
    </w:p>
    <w:p w14:paraId="05D00263" w14:textId="47B1D755" w:rsidR="00425624" w:rsidRDefault="00425624" w:rsidP="00425624"/>
    <w:p w14:paraId="4869D448" w14:textId="78856F45" w:rsidR="00C95CBE" w:rsidRDefault="00425624" w:rsidP="00497765">
      <w:pPr>
        <w:autoSpaceDE w:val="0"/>
        <w:autoSpaceDN w:val="0"/>
        <w:adjustRightInd w:val="0"/>
        <w:spacing w:after="0" w:line="360" w:lineRule="auto"/>
        <w:rPr>
          <w:rFonts w:ascii="Bookman Old Style" w:hAnsi="Bookman Old Style"/>
          <w:lang w:val="en-US"/>
        </w:rPr>
      </w:pPr>
      <w:r w:rsidRPr="009B6F07">
        <w:rPr>
          <w:rFonts w:ascii="Bookman Old Style" w:hAnsi="Bookman Old Style"/>
          <w:lang w:val="en-US"/>
        </w:rPr>
        <w:t xml:space="preserve">During the period under review, the continued increase in COVID-19 infections and accompanying measures to mitigate its </w:t>
      </w:r>
      <w:r w:rsidR="009B6F07" w:rsidRPr="009B6F07">
        <w:rPr>
          <w:rFonts w:ascii="Bookman Old Style" w:hAnsi="Bookman Old Style"/>
          <w:lang w:val="en-US"/>
        </w:rPr>
        <w:t>impact disrupted</w:t>
      </w:r>
      <w:r w:rsidRPr="009B6F07">
        <w:rPr>
          <w:rFonts w:ascii="Bookman Old Style" w:hAnsi="Bookman Old Style"/>
          <w:lang w:val="en-US"/>
        </w:rPr>
        <w:t xml:space="preserve"> economic activity, with</w:t>
      </w:r>
      <w:r w:rsidR="009B6F07" w:rsidRPr="009B6F07">
        <w:rPr>
          <w:rFonts w:ascii="Bookman Old Style" w:hAnsi="Bookman Old Style"/>
          <w:lang w:val="en-US"/>
        </w:rPr>
        <w:t xml:space="preserve"> consequent impacts on exports, </w:t>
      </w:r>
      <w:r w:rsidRPr="009B6F07">
        <w:rPr>
          <w:rFonts w:ascii="Bookman Old Style" w:hAnsi="Bookman Old Style"/>
          <w:lang w:val="en-US"/>
        </w:rPr>
        <w:t>trade transit costs, and tourism. At the same time, the econo</w:t>
      </w:r>
      <w:r w:rsidR="009B6F07">
        <w:rPr>
          <w:rFonts w:ascii="Bookman Old Style" w:hAnsi="Bookman Old Style"/>
          <w:lang w:val="en-US"/>
        </w:rPr>
        <w:t xml:space="preserve">mic outlook of Malawi’s </w:t>
      </w:r>
      <w:r w:rsidR="009B6F07" w:rsidRPr="009B6F07">
        <w:rPr>
          <w:rFonts w:ascii="Bookman Old Style" w:hAnsi="Bookman Old Style"/>
          <w:lang w:val="en-US"/>
        </w:rPr>
        <w:t xml:space="preserve">main trading </w:t>
      </w:r>
      <w:r w:rsidR="009B6F07">
        <w:rPr>
          <w:rFonts w:ascii="Bookman Old Style" w:hAnsi="Bookman Old Style"/>
          <w:lang w:val="en-US"/>
        </w:rPr>
        <w:t xml:space="preserve">partners </w:t>
      </w:r>
      <w:r w:rsidR="009B6F07" w:rsidRPr="009B6F07">
        <w:rPr>
          <w:rFonts w:ascii="Bookman Old Style" w:hAnsi="Bookman Old Style"/>
          <w:lang w:val="en-US"/>
        </w:rPr>
        <w:t>further</w:t>
      </w:r>
      <w:r w:rsidRPr="009B6F07">
        <w:rPr>
          <w:rFonts w:ascii="Bookman Old Style" w:hAnsi="Bookman Old Style"/>
          <w:lang w:val="en-US"/>
        </w:rPr>
        <w:t xml:space="preserve"> d</w:t>
      </w:r>
      <w:r w:rsidR="009B6F07">
        <w:rPr>
          <w:rFonts w:ascii="Bookman Old Style" w:hAnsi="Bookman Old Style"/>
          <w:lang w:val="en-US"/>
        </w:rPr>
        <w:t>eteriorated, and oil prices rose</w:t>
      </w:r>
      <w:r w:rsidRPr="009B6F07">
        <w:rPr>
          <w:rFonts w:ascii="Bookman Old Style" w:hAnsi="Bookman Old Style"/>
          <w:lang w:val="en-US"/>
        </w:rPr>
        <w:t>.</w:t>
      </w:r>
      <w:r w:rsidR="009B6F07">
        <w:rPr>
          <w:rFonts w:ascii="Bookman Old Style" w:hAnsi="Bookman Old Style"/>
          <w:lang w:val="en-US"/>
        </w:rPr>
        <w:t xml:space="preserve"> </w:t>
      </w:r>
      <w:r w:rsidR="00C95CBE" w:rsidRPr="00C95CBE">
        <w:rPr>
          <w:rFonts w:ascii="Bookman Old Style" w:hAnsi="Bookman Old Style"/>
          <w:lang w:val="en-US"/>
        </w:rPr>
        <w:t>Weak global demand hurt Malawi’s tobacco and other agricultural exports, and inflows of foreign direct investment (FDI).</w:t>
      </w:r>
      <w:r w:rsidR="00C95CBE">
        <w:rPr>
          <w:rFonts w:ascii="Bookman Old Style" w:hAnsi="Bookman Old Style"/>
          <w:lang w:val="en-US"/>
        </w:rPr>
        <w:t xml:space="preserve"> </w:t>
      </w:r>
      <w:r w:rsidR="00EF0789">
        <w:rPr>
          <w:rFonts w:ascii="Bookman Old Style" w:hAnsi="Bookman Old Style"/>
          <w:lang w:val="en-US"/>
        </w:rPr>
        <w:t>Notwithstanding a</w:t>
      </w:r>
      <w:r w:rsidRPr="009B6F07">
        <w:rPr>
          <w:rFonts w:ascii="Bookman Old Style" w:hAnsi="Bookman Old Style"/>
          <w:lang w:val="en-US"/>
        </w:rPr>
        <w:t xml:space="preserve"> bumper harvest</w:t>
      </w:r>
      <w:r w:rsidR="009B6F07" w:rsidRPr="009B6F07">
        <w:rPr>
          <w:rFonts w:ascii="Bookman Old Style" w:hAnsi="Bookman Old Style"/>
          <w:lang w:val="en-US"/>
        </w:rPr>
        <w:t xml:space="preserve">, </w:t>
      </w:r>
      <w:r w:rsidR="003C2C4F">
        <w:rPr>
          <w:rFonts w:ascii="Bookman Old Style" w:hAnsi="Bookman Old Style"/>
          <w:lang w:val="en-US"/>
        </w:rPr>
        <w:t>Gross Domestic Product (</w:t>
      </w:r>
      <w:r w:rsidR="009B6F07">
        <w:rPr>
          <w:rFonts w:ascii="Bookman Old Style" w:hAnsi="Bookman Old Style"/>
          <w:lang w:val="en-US"/>
        </w:rPr>
        <w:t>GDP</w:t>
      </w:r>
      <w:r w:rsidR="003C2C4F">
        <w:rPr>
          <w:rFonts w:ascii="Bookman Old Style" w:hAnsi="Bookman Old Style"/>
          <w:lang w:val="en-US"/>
        </w:rPr>
        <w:t>)</w:t>
      </w:r>
      <w:r w:rsidRPr="009B6F07">
        <w:rPr>
          <w:rFonts w:ascii="Bookman Old Style" w:hAnsi="Bookman Old Style"/>
          <w:lang w:val="en-US"/>
        </w:rPr>
        <w:t xml:space="preserve"> growth sharply</w:t>
      </w:r>
      <w:r w:rsidR="009B6F07" w:rsidRPr="009B6F07">
        <w:rPr>
          <w:rFonts w:ascii="Bookman Old Style" w:hAnsi="Bookman Old Style"/>
          <w:lang w:val="en-US"/>
        </w:rPr>
        <w:t xml:space="preserve"> decline</w:t>
      </w:r>
      <w:r w:rsidR="007B6B70">
        <w:rPr>
          <w:rFonts w:ascii="Bookman Old Style" w:hAnsi="Bookman Old Style"/>
          <w:lang w:val="en-US"/>
        </w:rPr>
        <w:t>d</w:t>
      </w:r>
      <w:r w:rsidR="00DA7FF2">
        <w:rPr>
          <w:rFonts w:ascii="Bookman Old Style" w:hAnsi="Bookman Old Style"/>
          <w:lang w:val="en-US"/>
        </w:rPr>
        <w:t xml:space="preserve"> from a </w:t>
      </w:r>
      <w:r w:rsidR="00311E34">
        <w:rPr>
          <w:rFonts w:ascii="Bookman Old Style" w:hAnsi="Bookman Old Style"/>
          <w:lang w:val="en-US"/>
        </w:rPr>
        <w:t>pre-pandemic projection of 5.5</w:t>
      </w:r>
      <w:r w:rsidR="00DA7FF2">
        <w:rPr>
          <w:rFonts w:ascii="Bookman Old Style" w:hAnsi="Bookman Old Style"/>
          <w:lang w:val="en-US"/>
        </w:rPr>
        <w:t xml:space="preserve"> percent </w:t>
      </w:r>
      <w:r w:rsidR="00DA7FF2" w:rsidRPr="009B6F07">
        <w:rPr>
          <w:rFonts w:ascii="Bookman Old Style" w:hAnsi="Bookman Old Style"/>
          <w:lang w:val="en-US"/>
        </w:rPr>
        <w:t>to</w:t>
      </w:r>
      <w:r w:rsidR="00311E34">
        <w:rPr>
          <w:rFonts w:ascii="Bookman Old Style" w:hAnsi="Bookman Old Style"/>
          <w:lang w:val="en-US"/>
        </w:rPr>
        <w:t xml:space="preserve"> an estimated realized value of </w:t>
      </w:r>
      <w:r w:rsidR="00311E34" w:rsidRPr="00DA7FF2">
        <w:rPr>
          <w:rFonts w:ascii="Bookman Old Style" w:hAnsi="Bookman Old Style"/>
          <w:lang w:val="en-US"/>
        </w:rPr>
        <w:t>0.9</w:t>
      </w:r>
      <w:r w:rsidR="00DA7FF2" w:rsidRPr="00DA7FF2">
        <w:rPr>
          <w:rFonts w:ascii="Bookman Old Style" w:hAnsi="Bookman Old Style"/>
          <w:lang w:val="en-US"/>
        </w:rPr>
        <w:t xml:space="preserve"> </w:t>
      </w:r>
      <w:r w:rsidRPr="009B6F07">
        <w:rPr>
          <w:rFonts w:ascii="Bookman Old Style" w:hAnsi="Bookman Old Style"/>
          <w:lang w:val="en-US"/>
        </w:rPr>
        <w:t>percent in 2020</w:t>
      </w:r>
      <w:r w:rsidR="009B6F07" w:rsidRPr="009B6F07">
        <w:rPr>
          <w:rFonts w:ascii="Bookman Old Style" w:hAnsi="Bookman Old Style"/>
          <w:lang w:val="en-US"/>
        </w:rPr>
        <w:t>.</w:t>
      </w:r>
      <w:r w:rsidR="00DA7FF2">
        <w:rPr>
          <w:rFonts w:ascii="Bookman Old Style" w:hAnsi="Bookman Old Style"/>
          <w:lang w:val="en-US"/>
        </w:rPr>
        <w:t xml:space="preserve"> The economy rebounded to an estimated growth rate of 3.8 percent in 2021.  The rebound is still marginal given that the economy is emerging from a low base. </w:t>
      </w:r>
    </w:p>
    <w:p w14:paraId="5FA1A452" w14:textId="7014420E" w:rsidR="00C95CBE" w:rsidRDefault="00C95CBE" w:rsidP="00497765">
      <w:pPr>
        <w:autoSpaceDE w:val="0"/>
        <w:autoSpaceDN w:val="0"/>
        <w:adjustRightInd w:val="0"/>
        <w:spacing w:after="0" w:line="360" w:lineRule="auto"/>
        <w:rPr>
          <w:rFonts w:ascii="Bookman Old Style" w:hAnsi="Bookman Old Style"/>
          <w:lang w:val="en-US"/>
        </w:rPr>
      </w:pPr>
    </w:p>
    <w:p w14:paraId="54370174" w14:textId="04008B86" w:rsidR="00C95CBE" w:rsidRDefault="00C95CBE" w:rsidP="00497765">
      <w:pPr>
        <w:autoSpaceDE w:val="0"/>
        <w:autoSpaceDN w:val="0"/>
        <w:adjustRightInd w:val="0"/>
        <w:spacing w:after="0" w:line="360" w:lineRule="auto"/>
        <w:rPr>
          <w:rFonts w:ascii="Bookman Old Style" w:hAnsi="Bookman Old Style"/>
          <w:lang w:val="en-US"/>
        </w:rPr>
      </w:pPr>
      <w:r>
        <w:rPr>
          <w:rFonts w:ascii="Bookman Old Style" w:hAnsi="Bookman Old Style"/>
          <w:lang w:val="en-US"/>
        </w:rPr>
        <w:t>Year-on-year headline inflation remained within single digits in the period under review. Nevertheless, it increased</w:t>
      </w:r>
      <w:r w:rsidR="007B6B70">
        <w:rPr>
          <w:rFonts w:ascii="Bookman Old Style" w:hAnsi="Bookman Old Style"/>
          <w:lang w:val="en-US"/>
        </w:rPr>
        <w:t xml:space="preserve"> by 0.6 percentage points</w:t>
      </w:r>
      <w:r>
        <w:rPr>
          <w:rFonts w:ascii="Bookman Old Style" w:hAnsi="Bookman Old Style"/>
          <w:lang w:val="en-US"/>
        </w:rPr>
        <w:t xml:space="preserve"> from 8.5 percent in June 2020 to 9.1 percent in June 2021.</w:t>
      </w:r>
      <w:r w:rsidR="006C5139">
        <w:rPr>
          <w:rFonts w:ascii="Bookman Old Style" w:hAnsi="Bookman Old Style"/>
          <w:lang w:val="en-US"/>
        </w:rPr>
        <w:t xml:space="preserve"> </w:t>
      </w:r>
      <w:r w:rsidR="006C5139" w:rsidRPr="006C5139">
        <w:rPr>
          <w:rFonts w:ascii="Bookman Old Style" w:hAnsi="Bookman Old Style"/>
          <w:lang w:val="en-US"/>
        </w:rPr>
        <w:t>Monetary policy was accommodative to support recovery from the pandemic</w:t>
      </w:r>
      <w:r w:rsidR="006C5139">
        <w:rPr>
          <w:rFonts w:ascii="Bookman Old Style" w:hAnsi="Bookman Old Style"/>
          <w:lang w:val="en-US"/>
        </w:rPr>
        <w:t xml:space="preserve"> during the period. The Reserve Bank of Malawi maintained a policy rate of 12 percent since its reduction to this level in November 2020.</w:t>
      </w:r>
      <w:r w:rsidR="006C5139" w:rsidRPr="006C5139">
        <w:rPr>
          <w:rFonts w:ascii="Helvetica" w:hAnsi="Helvetica"/>
          <w:color w:val="333333"/>
          <w:shd w:val="clear" w:color="auto" w:fill="FFFFFF"/>
        </w:rPr>
        <w:t xml:space="preserve"> </w:t>
      </w:r>
      <w:r w:rsidR="006C5139" w:rsidRPr="006C5139">
        <w:rPr>
          <w:rFonts w:ascii="Bookman Old Style" w:hAnsi="Bookman Old Style"/>
          <w:lang w:val="en-US"/>
        </w:rPr>
        <w:t xml:space="preserve">The foreign </w:t>
      </w:r>
      <w:r w:rsidR="006C5139">
        <w:rPr>
          <w:rFonts w:ascii="Bookman Old Style" w:hAnsi="Bookman Old Style"/>
          <w:lang w:val="en-US"/>
        </w:rPr>
        <w:t xml:space="preserve">exchange market </w:t>
      </w:r>
      <w:r w:rsidR="006C5139">
        <w:rPr>
          <w:rFonts w:ascii="Bookman Old Style" w:hAnsi="Bookman Old Style"/>
          <w:lang w:val="en-US"/>
        </w:rPr>
        <w:lastRenderedPageBreak/>
        <w:t xml:space="preserve">experienced </w:t>
      </w:r>
      <w:r w:rsidR="006C5139" w:rsidRPr="006C5139">
        <w:rPr>
          <w:rFonts w:ascii="Bookman Old Style" w:hAnsi="Bookman Old Style"/>
          <w:lang w:val="en-US"/>
        </w:rPr>
        <w:t>pressures caused by COVID–19</w:t>
      </w:r>
      <w:r w:rsidR="006C5139">
        <w:rPr>
          <w:rFonts w:ascii="Bookman Old Style" w:hAnsi="Bookman Old Style"/>
          <w:lang w:val="en-US"/>
        </w:rPr>
        <w:t xml:space="preserve">- related importations and the need for essential importations like fertilizers. </w:t>
      </w:r>
    </w:p>
    <w:p w14:paraId="354F72EC" w14:textId="704134EC" w:rsidR="00C95CBE" w:rsidRDefault="00C95CBE" w:rsidP="00497765">
      <w:pPr>
        <w:autoSpaceDE w:val="0"/>
        <w:autoSpaceDN w:val="0"/>
        <w:adjustRightInd w:val="0"/>
        <w:spacing w:after="0" w:line="360" w:lineRule="auto"/>
        <w:rPr>
          <w:rFonts w:ascii="Bookman Old Style" w:hAnsi="Bookman Old Style"/>
          <w:lang w:val="en-US"/>
        </w:rPr>
      </w:pPr>
    </w:p>
    <w:p w14:paraId="1098368D" w14:textId="77777777" w:rsidR="006C5139" w:rsidRDefault="006C5139" w:rsidP="00497765">
      <w:pPr>
        <w:autoSpaceDE w:val="0"/>
        <w:autoSpaceDN w:val="0"/>
        <w:adjustRightInd w:val="0"/>
        <w:spacing w:after="0" w:line="360" w:lineRule="auto"/>
        <w:rPr>
          <w:rFonts w:ascii="Bookman Old Style" w:hAnsi="Bookman Old Style"/>
          <w:lang w:val="en-US"/>
        </w:rPr>
      </w:pPr>
    </w:p>
    <w:p w14:paraId="0C9EB6D1" w14:textId="143CC7EB" w:rsidR="00425624" w:rsidRDefault="009B6F07" w:rsidP="00497765">
      <w:pPr>
        <w:autoSpaceDE w:val="0"/>
        <w:autoSpaceDN w:val="0"/>
        <w:adjustRightInd w:val="0"/>
        <w:spacing w:after="0" w:line="360" w:lineRule="auto"/>
        <w:rPr>
          <w:rFonts w:ascii="Bookman Old Style" w:hAnsi="Bookman Old Style"/>
          <w:lang w:val="en-US"/>
        </w:rPr>
      </w:pPr>
      <w:r>
        <w:rPr>
          <w:rFonts w:ascii="Bookman Old Style" w:hAnsi="Bookman Old Style"/>
          <w:lang w:val="en-US"/>
        </w:rPr>
        <w:t xml:space="preserve">In line with </w:t>
      </w:r>
      <w:r w:rsidRPr="009B6F07">
        <w:rPr>
          <w:rFonts w:ascii="Bookman Old Style" w:hAnsi="Bookman Old Style"/>
          <w:lang w:val="en-US"/>
        </w:rPr>
        <w:t xml:space="preserve">the </w:t>
      </w:r>
      <w:r>
        <w:rPr>
          <w:rFonts w:ascii="Bookman Old Style" w:hAnsi="Bookman Old Style"/>
          <w:lang w:val="en-US"/>
        </w:rPr>
        <w:t>reduced</w:t>
      </w:r>
      <w:r w:rsidR="00425624" w:rsidRPr="009B6F07">
        <w:rPr>
          <w:rFonts w:ascii="Bookman Old Style" w:hAnsi="Bookman Old Style"/>
          <w:lang w:val="en-US"/>
        </w:rPr>
        <w:t xml:space="preserve"> economic activity</w:t>
      </w:r>
      <w:r w:rsidR="00DA7FF2">
        <w:rPr>
          <w:rFonts w:ascii="Bookman Old Style" w:hAnsi="Bookman Old Style"/>
          <w:lang w:val="en-US"/>
        </w:rPr>
        <w:t xml:space="preserve"> during the period</w:t>
      </w:r>
      <w:r w:rsidR="00425624" w:rsidRPr="009B6F07">
        <w:rPr>
          <w:rFonts w:ascii="Bookman Old Style" w:hAnsi="Bookman Old Style"/>
          <w:lang w:val="en-US"/>
        </w:rPr>
        <w:t>, the overall balance of</w:t>
      </w:r>
      <w:r w:rsidRPr="009B6F07">
        <w:rPr>
          <w:rFonts w:ascii="Bookman Old Style" w:hAnsi="Bookman Old Style"/>
          <w:lang w:val="en-US"/>
        </w:rPr>
        <w:t xml:space="preserve"> payments</w:t>
      </w:r>
      <w:r>
        <w:rPr>
          <w:rFonts w:ascii="Bookman Old Style" w:hAnsi="Bookman Old Style"/>
          <w:lang w:val="en-US"/>
        </w:rPr>
        <w:t xml:space="preserve"> deficit persi</w:t>
      </w:r>
      <w:r w:rsidR="00EF0789">
        <w:rPr>
          <w:rFonts w:ascii="Bookman Old Style" w:hAnsi="Bookman Old Style"/>
          <w:lang w:val="en-US"/>
        </w:rPr>
        <w:t xml:space="preserve">sted in the first half of 2021. </w:t>
      </w:r>
      <w:r>
        <w:rPr>
          <w:rFonts w:ascii="Bookman Old Style" w:hAnsi="Bookman Old Style"/>
          <w:lang w:val="en-US"/>
        </w:rPr>
        <w:t xml:space="preserve">These developments </w:t>
      </w:r>
      <w:r w:rsidR="00425624" w:rsidRPr="009B6F07">
        <w:rPr>
          <w:rFonts w:ascii="Bookman Old Style" w:hAnsi="Bookman Old Style"/>
          <w:lang w:val="en-US"/>
        </w:rPr>
        <w:t>continu</w:t>
      </w:r>
      <w:r w:rsidRPr="009B6F07">
        <w:rPr>
          <w:rFonts w:ascii="Bookman Old Style" w:hAnsi="Bookman Old Style"/>
          <w:lang w:val="en-US"/>
        </w:rPr>
        <w:t>e</w:t>
      </w:r>
      <w:r>
        <w:rPr>
          <w:rFonts w:ascii="Bookman Old Style" w:hAnsi="Bookman Old Style"/>
          <w:lang w:val="en-US"/>
        </w:rPr>
        <w:t>d</w:t>
      </w:r>
      <w:r w:rsidRPr="009B6F07">
        <w:rPr>
          <w:rFonts w:ascii="Bookman Old Style" w:hAnsi="Bookman Old Style"/>
          <w:lang w:val="en-US"/>
        </w:rPr>
        <w:t xml:space="preserve"> to weigh on </w:t>
      </w:r>
      <w:r>
        <w:rPr>
          <w:rFonts w:ascii="Bookman Old Style" w:hAnsi="Bookman Old Style"/>
          <w:lang w:val="en-US"/>
        </w:rPr>
        <w:t xml:space="preserve">Malawi’s growth prospects and continued to have significant fiscal </w:t>
      </w:r>
      <w:r w:rsidR="00425624" w:rsidRPr="009B6F07">
        <w:rPr>
          <w:rFonts w:ascii="Bookman Old Style" w:hAnsi="Bookman Old Style"/>
          <w:lang w:val="en-US"/>
        </w:rPr>
        <w:t>impact. Revenue shortfalls emanating from low economic activity, significant increases in</w:t>
      </w:r>
      <w:r w:rsidR="00497765">
        <w:rPr>
          <w:rFonts w:ascii="Bookman Old Style" w:hAnsi="Bookman Old Style"/>
          <w:lang w:val="en-US"/>
        </w:rPr>
        <w:t xml:space="preserve"> c</w:t>
      </w:r>
      <w:r w:rsidR="00497765" w:rsidRPr="009B6F07">
        <w:rPr>
          <w:rFonts w:ascii="Bookman Old Style" w:hAnsi="Bookman Old Style"/>
          <w:lang w:val="en-US"/>
        </w:rPr>
        <w:t>ritical</w:t>
      </w:r>
      <w:r w:rsidR="00497765">
        <w:rPr>
          <w:rFonts w:ascii="Bookman Old Style" w:hAnsi="Bookman Old Style"/>
          <w:lang w:val="en-US"/>
        </w:rPr>
        <w:t xml:space="preserve"> </w:t>
      </w:r>
      <w:r w:rsidR="00497765" w:rsidRPr="009B6F07">
        <w:rPr>
          <w:rFonts w:ascii="Bookman Old Style" w:hAnsi="Bookman Old Style"/>
          <w:lang w:val="en-US"/>
        </w:rPr>
        <w:t>COVID</w:t>
      </w:r>
      <w:r w:rsidR="00497765">
        <w:rPr>
          <w:rFonts w:ascii="Bookman Old Style" w:hAnsi="Bookman Old Style"/>
          <w:lang w:val="en-US"/>
        </w:rPr>
        <w:t xml:space="preserve">-19-related health </w:t>
      </w:r>
      <w:r w:rsidR="00425624" w:rsidRPr="009B6F07">
        <w:rPr>
          <w:rFonts w:ascii="Bookman Old Style" w:hAnsi="Bookman Old Style"/>
          <w:lang w:val="en-US"/>
        </w:rPr>
        <w:t>and social</w:t>
      </w:r>
      <w:r w:rsidR="00497765">
        <w:rPr>
          <w:rFonts w:ascii="Bookman Old Style" w:hAnsi="Bookman Old Style"/>
          <w:lang w:val="en-US"/>
        </w:rPr>
        <w:t xml:space="preserve"> spending </w:t>
      </w:r>
      <w:r w:rsidR="00425624" w:rsidRPr="009B6F07">
        <w:rPr>
          <w:rFonts w:ascii="Bookman Old Style" w:hAnsi="Bookman Old Style"/>
          <w:lang w:val="en-US"/>
        </w:rPr>
        <w:t>worsen</w:t>
      </w:r>
      <w:r w:rsidR="00497765">
        <w:rPr>
          <w:rFonts w:ascii="Bookman Old Style" w:hAnsi="Bookman Old Style"/>
          <w:lang w:val="en-US"/>
        </w:rPr>
        <w:t xml:space="preserve">ed the </w:t>
      </w:r>
      <w:r w:rsidR="00425624" w:rsidRPr="009B6F07">
        <w:rPr>
          <w:rFonts w:ascii="Bookman Old Style" w:hAnsi="Bookman Old Style"/>
          <w:lang w:val="en-US"/>
        </w:rPr>
        <w:t>domestic primary deficit</w:t>
      </w:r>
      <w:r w:rsidR="00425624" w:rsidRPr="00497765">
        <w:rPr>
          <w:rFonts w:ascii="Bookman Old Style" w:hAnsi="Bookman Old Style"/>
          <w:lang w:val="en-US"/>
        </w:rPr>
        <w:t xml:space="preserve"> in FY2020/21.</w:t>
      </w:r>
      <w:r w:rsidR="00497765">
        <w:rPr>
          <w:rFonts w:ascii="Bookman Old Style" w:hAnsi="Bookman Old Style"/>
          <w:lang w:val="en-US"/>
        </w:rPr>
        <w:t xml:space="preserve"> </w:t>
      </w:r>
    </w:p>
    <w:p w14:paraId="04C7037D" w14:textId="748856E5" w:rsidR="00497765" w:rsidRDefault="00497765" w:rsidP="00497765">
      <w:pPr>
        <w:autoSpaceDE w:val="0"/>
        <w:autoSpaceDN w:val="0"/>
        <w:adjustRightInd w:val="0"/>
        <w:spacing w:after="0" w:line="360" w:lineRule="auto"/>
        <w:rPr>
          <w:rFonts w:ascii="Bookman Old Style" w:hAnsi="Bookman Old Style"/>
          <w:lang w:val="en-US"/>
        </w:rPr>
      </w:pPr>
    </w:p>
    <w:p w14:paraId="37677CC7" w14:textId="77777777" w:rsidR="00497765" w:rsidRDefault="00497765" w:rsidP="00497765">
      <w:pPr>
        <w:pStyle w:val="Default"/>
      </w:pPr>
    </w:p>
    <w:p w14:paraId="2D7A8BE0" w14:textId="42194D07" w:rsidR="00497765" w:rsidRPr="00497765" w:rsidRDefault="00497765" w:rsidP="00497765">
      <w:pPr>
        <w:autoSpaceDE w:val="0"/>
        <w:autoSpaceDN w:val="0"/>
        <w:adjustRightInd w:val="0"/>
        <w:spacing w:after="0" w:line="360" w:lineRule="auto"/>
        <w:rPr>
          <w:rFonts w:ascii="Bookman Old Style" w:hAnsi="Bookman Old Style"/>
          <w:lang w:val="en-US"/>
        </w:rPr>
      </w:pPr>
      <w:r w:rsidRPr="00C90DE3">
        <w:rPr>
          <w:rFonts w:ascii="Bookman Old Style" w:hAnsi="Bookman Old Style"/>
          <w:lang w:val="en-US"/>
        </w:rPr>
        <w:t xml:space="preserve">Going forward, Government has moved to </w:t>
      </w:r>
      <w:r w:rsidR="00C90DE3" w:rsidRPr="00C90DE3">
        <w:rPr>
          <w:rFonts w:ascii="Bookman Old Style" w:hAnsi="Bookman Old Style"/>
          <w:lang w:val="en-US"/>
        </w:rPr>
        <w:t>safeguard debt</w:t>
      </w:r>
      <w:r w:rsidRPr="00497765">
        <w:rPr>
          <w:rFonts w:ascii="Bookman Old Style" w:hAnsi="Bookman Old Style"/>
          <w:lang w:val="en-US"/>
        </w:rPr>
        <w:t xml:space="preserve"> sustainability </w:t>
      </w:r>
      <w:r w:rsidR="00DA7FF2" w:rsidRPr="00497765">
        <w:rPr>
          <w:rFonts w:ascii="Bookman Old Style" w:hAnsi="Bookman Old Style"/>
          <w:lang w:val="en-US"/>
        </w:rPr>
        <w:t xml:space="preserve">and </w:t>
      </w:r>
      <w:r w:rsidR="00DA7FF2">
        <w:rPr>
          <w:rFonts w:ascii="Bookman Old Style" w:hAnsi="Bookman Old Style"/>
          <w:lang w:val="en-US"/>
        </w:rPr>
        <w:t>is</w:t>
      </w:r>
      <w:r>
        <w:rPr>
          <w:rFonts w:ascii="Bookman Old Style" w:hAnsi="Bookman Old Style"/>
          <w:lang w:val="en-US"/>
        </w:rPr>
        <w:t xml:space="preserve"> formulating </w:t>
      </w:r>
      <w:r w:rsidRPr="00497765">
        <w:rPr>
          <w:rFonts w:ascii="Bookman Old Style" w:hAnsi="Bookman Old Style"/>
          <w:lang w:val="en-US"/>
        </w:rPr>
        <w:t>measures to reduce debt over the medium term, including implementing a comprehensive domesti</w:t>
      </w:r>
      <w:r>
        <w:rPr>
          <w:rFonts w:ascii="Bookman Old Style" w:hAnsi="Bookman Old Style"/>
          <w:lang w:val="en-US"/>
        </w:rPr>
        <w:t>c revenue mobilization strategy</w:t>
      </w:r>
      <w:r w:rsidR="002C7E77">
        <w:rPr>
          <w:rFonts w:ascii="Bookman Old Style" w:hAnsi="Bookman Old Style"/>
          <w:lang w:val="en-US"/>
        </w:rPr>
        <w:t xml:space="preserve">, </w:t>
      </w:r>
      <w:r w:rsidR="007B3CF3">
        <w:rPr>
          <w:rFonts w:ascii="Bookman Old Style" w:hAnsi="Bookman Old Style"/>
          <w:lang w:val="en-US"/>
        </w:rPr>
        <w:t xml:space="preserve">expenditure management, </w:t>
      </w:r>
      <w:r w:rsidR="002C7E77">
        <w:rPr>
          <w:rFonts w:ascii="Bookman Old Style" w:hAnsi="Bookman Old Style"/>
          <w:lang w:val="en-US"/>
        </w:rPr>
        <w:t xml:space="preserve">targeted borrowing </w:t>
      </w:r>
      <w:r w:rsidR="001F788B">
        <w:rPr>
          <w:rFonts w:ascii="Bookman Old Style" w:hAnsi="Bookman Old Style"/>
          <w:lang w:val="en-US"/>
        </w:rPr>
        <w:t xml:space="preserve">under the </w:t>
      </w:r>
      <w:r w:rsidR="00194922">
        <w:rPr>
          <w:rFonts w:ascii="Bookman Old Style" w:hAnsi="Bookman Old Style"/>
          <w:lang w:val="en-US"/>
        </w:rPr>
        <w:t>infrastructure development</w:t>
      </w:r>
      <w:r w:rsidR="009F77BC">
        <w:rPr>
          <w:rFonts w:ascii="Bookman Old Style" w:hAnsi="Bookman Old Style"/>
          <w:lang w:val="en-US"/>
        </w:rPr>
        <w:t xml:space="preserve"> bond programme </w:t>
      </w:r>
      <w:r w:rsidR="002C7E77">
        <w:rPr>
          <w:rFonts w:ascii="Bookman Old Style" w:hAnsi="Bookman Old Style"/>
          <w:lang w:val="en-US"/>
        </w:rPr>
        <w:t>towards productive projects</w:t>
      </w:r>
      <w:r w:rsidR="009F77BC">
        <w:rPr>
          <w:rFonts w:ascii="Bookman Old Style" w:hAnsi="Bookman Old Style"/>
          <w:lang w:val="en-US"/>
        </w:rPr>
        <w:t xml:space="preserve"> that generate sufficient growth and complementarities</w:t>
      </w:r>
      <w:r w:rsidR="00311E34">
        <w:rPr>
          <w:rFonts w:ascii="Bookman Old Style" w:hAnsi="Bookman Old Style"/>
          <w:lang w:val="en-US"/>
        </w:rPr>
        <w:t xml:space="preserve"> to pay off the debt in future. Government is also working on modalities of a Debt</w:t>
      </w:r>
      <w:r>
        <w:rPr>
          <w:rFonts w:ascii="Bookman Old Style" w:hAnsi="Bookman Old Style"/>
          <w:lang w:val="en-US"/>
        </w:rPr>
        <w:t xml:space="preserve"> </w:t>
      </w:r>
      <w:r w:rsidR="00055408">
        <w:rPr>
          <w:rFonts w:ascii="Bookman Old Style" w:hAnsi="Bookman Old Style"/>
          <w:lang w:val="en-US"/>
        </w:rPr>
        <w:t>R</w:t>
      </w:r>
      <w:r>
        <w:rPr>
          <w:rFonts w:ascii="Bookman Old Style" w:hAnsi="Bookman Old Style"/>
          <w:lang w:val="en-US"/>
        </w:rPr>
        <w:t xml:space="preserve">etirement </w:t>
      </w:r>
      <w:r w:rsidR="00055408">
        <w:rPr>
          <w:rFonts w:ascii="Bookman Old Style" w:hAnsi="Bookman Old Style"/>
          <w:lang w:val="en-US"/>
        </w:rPr>
        <w:t>F</w:t>
      </w:r>
      <w:r>
        <w:rPr>
          <w:rFonts w:ascii="Bookman Old Style" w:hAnsi="Bookman Old Style"/>
          <w:lang w:val="en-US"/>
        </w:rPr>
        <w:t xml:space="preserve">und. </w:t>
      </w:r>
      <w:r w:rsidRPr="00497765">
        <w:rPr>
          <w:rFonts w:ascii="Bookman Old Style" w:hAnsi="Bookman Old Style"/>
          <w:lang w:val="en-US"/>
        </w:rPr>
        <w:t xml:space="preserve"> </w:t>
      </w:r>
      <w:r w:rsidR="00B13ED2">
        <w:rPr>
          <w:rFonts w:ascii="Bookman Old Style" w:hAnsi="Bookman Old Style"/>
          <w:lang w:val="en-US"/>
        </w:rPr>
        <w:t>Further, with the new Integrated Financial Management System</w:t>
      </w:r>
      <w:r w:rsidR="00AE539B">
        <w:rPr>
          <w:rFonts w:ascii="Bookman Old Style" w:hAnsi="Bookman Old Style"/>
          <w:lang w:val="en-US"/>
        </w:rPr>
        <w:t xml:space="preserve"> in place</w:t>
      </w:r>
      <w:r w:rsidR="00B13ED2">
        <w:rPr>
          <w:rFonts w:ascii="Bookman Old Style" w:hAnsi="Bookman Old Style"/>
          <w:lang w:val="en-US"/>
        </w:rPr>
        <w:t>, it is envisaged</w:t>
      </w:r>
      <w:r w:rsidR="00AE539B">
        <w:rPr>
          <w:rFonts w:ascii="Bookman Old Style" w:hAnsi="Bookman Old Style"/>
          <w:lang w:val="en-US"/>
        </w:rPr>
        <w:t xml:space="preserve"> that</w:t>
      </w:r>
      <w:r w:rsidR="00B13ED2">
        <w:rPr>
          <w:rFonts w:ascii="Bookman Old Style" w:hAnsi="Bookman Old Style"/>
          <w:lang w:val="en-US"/>
        </w:rPr>
        <w:t xml:space="preserve"> commitment controls will be greatly enhanced to tame the growth in arrears.  </w:t>
      </w:r>
    </w:p>
    <w:p w14:paraId="7AB431DF" w14:textId="77777777" w:rsidR="00497765" w:rsidRPr="00425624" w:rsidRDefault="00497765" w:rsidP="009B6F07"/>
    <w:p w14:paraId="71CC867F" w14:textId="77777777" w:rsidR="0021011A" w:rsidRPr="0004521C" w:rsidRDefault="0021011A" w:rsidP="0021011A">
      <w:pPr>
        <w:pStyle w:val="Heading2"/>
        <w:spacing w:after="240" w:line="360" w:lineRule="auto"/>
        <w:rPr>
          <w:rFonts w:cs="Times New Roman"/>
          <w:bCs w:val="0"/>
          <w:iCs w:val="0"/>
          <w:szCs w:val="24"/>
          <w:lang w:val="en-US"/>
        </w:rPr>
      </w:pPr>
      <w:bookmarkStart w:id="20" w:name="_Toc88660835"/>
      <w:bookmarkStart w:id="21" w:name="_Toc433725562"/>
      <w:r>
        <w:rPr>
          <w:rFonts w:cs="Times New Roman"/>
          <w:bCs w:val="0"/>
          <w:iCs w:val="0"/>
          <w:szCs w:val="24"/>
          <w:lang w:val="en-US"/>
        </w:rPr>
        <w:t xml:space="preserve">1.3 </w:t>
      </w:r>
      <w:r w:rsidRPr="0004521C">
        <w:rPr>
          <w:rFonts w:cs="Times New Roman"/>
          <w:bCs w:val="0"/>
          <w:iCs w:val="0"/>
          <w:szCs w:val="24"/>
          <w:lang w:val="en-US"/>
        </w:rPr>
        <w:t>Medium</w:t>
      </w:r>
      <w:r>
        <w:rPr>
          <w:rFonts w:cs="Times New Roman"/>
          <w:bCs w:val="0"/>
          <w:iCs w:val="0"/>
          <w:szCs w:val="24"/>
          <w:lang w:val="en-US"/>
        </w:rPr>
        <w:t>-</w:t>
      </w:r>
      <w:r w:rsidRPr="0004521C">
        <w:rPr>
          <w:rFonts w:cs="Times New Roman"/>
          <w:bCs w:val="0"/>
          <w:iCs w:val="0"/>
          <w:szCs w:val="24"/>
          <w:lang w:val="en-US"/>
        </w:rPr>
        <w:t>Term Debt Management Strategy</w:t>
      </w:r>
      <w:bookmarkEnd w:id="20"/>
      <w:r w:rsidRPr="0004521C">
        <w:rPr>
          <w:rFonts w:cs="Times New Roman"/>
          <w:bCs w:val="0"/>
          <w:iCs w:val="0"/>
          <w:szCs w:val="24"/>
          <w:lang w:val="en-US"/>
        </w:rPr>
        <w:t xml:space="preserve"> </w:t>
      </w:r>
    </w:p>
    <w:p w14:paraId="4E509D03" w14:textId="3DFADE89" w:rsidR="0021011A" w:rsidRPr="007314EA" w:rsidRDefault="003D71B6" w:rsidP="0021011A">
      <w:pPr>
        <w:spacing w:line="360" w:lineRule="auto"/>
        <w:rPr>
          <w:rFonts w:ascii="Bookman Old Style" w:hAnsi="Bookman Old Style"/>
        </w:rPr>
      </w:pPr>
      <w:r>
        <w:rPr>
          <w:rFonts w:ascii="Bookman Old Style" w:hAnsi="Bookman Old Style"/>
        </w:rPr>
        <w:t>Treasury continues to implement a</w:t>
      </w:r>
      <w:r w:rsidR="0021011A">
        <w:rPr>
          <w:rFonts w:ascii="Bookman Old Style" w:hAnsi="Bookman Old Style"/>
        </w:rPr>
        <w:t xml:space="preserve"> Medium-Term Debt Management Strategy (MTDS) approved by the Minister of Finance in December 2018 covering the FYs</w:t>
      </w:r>
      <w:r w:rsidR="0021011A" w:rsidRPr="007314EA">
        <w:rPr>
          <w:rFonts w:ascii="Bookman Old Style" w:hAnsi="Bookman Old Style"/>
        </w:rPr>
        <w:t xml:space="preserve"> 2018/19 to 2021/22</w:t>
      </w:r>
      <w:r w:rsidR="0021011A">
        <w:rPr>
          <w:rFonts w:ascii="Bookman Old Style" w:hAnsi="Bookman Old Style"/>
        </w:rPr>
        <w:t>.</w:t>
      </w:r>
      <w:r w:rsidR="0021011A" w:rsidRPr="007314EA">
        <w:rPr>
          <w:rFonts w:ascii="Bookman Old Style" w:hAnsi="Bookman Old Style"/>
        </w:rPr>
        <w:t xml:space="preserve"> </w:t>
      </w:r>
      <w:r w:rsidR="00BD45A7">
        <w:rPr>
          <w:rFonts w:ascii="Bookman Old Style" w:hAnsi="Bookman Old Style"/>
        </w:rPr>
        <w:t>As reported in the previous edition, to</w:t>
      </w:r>
      <w:r w:rsidR="0021011A">
        <w:rPr>
          <w:rFonts w:ascii="Bookman Old Style" w:hAnsi="Bookman Old Style"/>
        </w:rPr>
        <w:t xml:space="preserve"> reduce</w:t>
      </w:r>
      <w:r w:rsidR="0021011A" w:rsidRPr="007314EA">
        <w:rPr>
          <w:rFonts w:ascii="Bookman Old Style" w:hAnsi="Bookman Old Style"/>
        </w:rPr>
        <w:t xml:space="preserve"> re-financing and re-fixing risks of the public domestic debt stock, four strategies were considered as follows</w:t>
      </w:r>
      <w:r w:rsidR="0021011A">
        <w:rPr>
          <w:rFonts w:ascii="Bookman Old Style" w:hAnsi="Bookman Old Style"/>
        </w:rPr>
        <w:t>:</w:t>
      </w:r>
    </w:p>
    <w:p w14:paraId="05A46511" w14:textId="77777777" w:rsidR="0021011A" w:rsidRPr="007314EA" w:rsidRDefault="0021011A" w:rsidP="0021011A">
      <w:pPr>
        <w:pStyle w:val="ListParagraph"/>
        <w:numPr>
          <w:ilvl w:val="0"/>
          <w:numId w:val="17"/>
        </w:numPr>
        <w:spacing w:after="160" w:line="360" w:lineRule="auto"/>
        <w:jc w:val="both"/>
        <w:rPr>
          <w:rFonts w:ascii="Bookman Old Style" w:hAnsi="Bookman Old Style"/>
        </w:rPr>
      </w:pPr>
      <w:r w:rsidRPr="007314EA">
        <w:rPr>
          <w:rFonts w:ascii="Bookman Old Style" w:hAnsi="Bookman Old Style"/>
        </w:rPr>
        <w:t>Strategy</w:t>
      </w:r>
      <w:r>
        <w:rPr>
          <w:rFonts w:ascii="Bookman Old Style" w:hAnsi="Bookman Old Style"/>
        </w:rPr>
        <w:t xml:space="preserve"> </w:t>
      </w:r>
      <w:r w:rsidRPr="007314EA">
        <w:rPr>
          <w:rFonts w:ascii="Bookman Old Style" w:hAnsi="Bookman Old Style"/>
        </w:rPr>
        <w:t>1</w:t>
      </w:r>
      <w:r>
        <w:rPr>
          <w:rFonts w:ascii="Bookman Old Style" w:hAnsi="Bookman Old Style"/>
        </w:rPr>
        <w:t xml:space="preserve"> –</w:t>
      </w:r>
      <w:r w:rsidRPr="007314EA">
        <w:rPr>
          <w:rFonts w:ascii="Bookman Old Style" w:hAnsi="Bookman Old Style"/>
        </w:rPr>
        <w:t xml:space="preserve"> status</w:t>
      </w:r>
      <w:r>
        <w:rPr>
          <w:rFonts w:ascii="Bookman Old Style" w:hAnsi="Bookman Old Style"/>
        </w:rPr>
        <w:t xml:space="preserve"> </w:t>
      </w:r>
      <w:r w:rsidRPr="007314EA">
        <w:rPr>
          <w:rFonts w:ascii="Bookman Old Style" w:hAnsi="Bookman Old Style"/>
        </w:rPr>
        <w:t>quo whereby Government will continue borrowing from concessional and</w:t>
      </w:r>
      <w:r>
        <w:rPr>
          <w:rFonts w:ascii="Bookman Old Style" w:hAnsi="Bookman Old Style"/>
        </w:rPr>
        <w:t>, where necessary,</w:t>
      </w:r>
      <w:r w:rsidRPr="007314EA">
        <w:rPr>
          <w:rFonts w:ascii="Bookman Old Style" w:hAnsi="Bookman Old Style"/>
        </w:rPr>
        <w:t xml:space="preserve"> semi-concessional external sources and maintain the current composition of domestic debt;  </w:t>
      </w:r>
    </w:p>
    <w:p w14:paraId="0EC60303" w14:textId="77777777" w:rsidR="0021011A" w:rsidRPr="007314EA" w:rsidRDefault="0021011A" w:rsidP="0021011A">
      <w:pPr>
        <w:pStyle w:val="ListParagraph"/>
        <w:numPr>
          <w:ilvl w:val="0"/>
          <w:numId w:val="17"/>
        </w:numPr>
        <w:spacing w:after="160" w:line="360" w:lineRule="auto"/>
        <w:jc w:val="both"/>
        <w:rPr>
          <w:rFonts w:ascii="Bookman Old Style" w:hAnsi="Bookman Old Style"/>
        </w:rPr>
      </w:pPr>
      <w:r w:rsidRPr="007314EA">
        <w:rPr>
          <w:rFonts w:ascii="Bookman Old Style" w:hAnsi="Bookman Old Style"/>
        </w:rPr>
        <w:lastRenderedPageBreak/>
        <w:t>Strategy 2</w:t>
      </w:r>
      <w:r>
        <w:rPr>
          <w:rFonts w:ascii="Bookman Old Style" w:hAnsi="Bookman Old Style"/>
        </w:rPr>
        <w:t xml:space="preserve"> –</w:t>
      </w:r>
      <w:r w:rsidRPr="007314EA">
        <w:rPr>
          <w:rFonts w:ascii="Bookman Old Style" w:hAnsi="Bookman Old Style"/>
        </w:rPr>
        <w:t xml:space="preserve"> lengthening</w:t>
      </w:r>
      <w:r>
        <w:rPr>
          <w:rFonts w:ascii="Bookman Old Style" w:hAnsi="Bookman Old Style"/>
        </w:rPr>
        <w:t xml:space="preserve"> </w:t>
      </w:r>
      <w:r w:rsidRPr="007314EA">
        <w:rPr>
          <w:rFonts w:ascii="Bookman Old Style" w:hAnsi="Bookman Old Style"/>
        </w:rPr>
        <w:t>of the domestic debt maturities through</w:t>
      </w:r>
      <w:r>
        <w:rPr>
          <w:rFonts w:ascii="Bookman Old Style" w:hAnsi="Bookman Old Style"/>
        </w:rPr>
        <w:t xml:space="preserve"> the</w:t>
      </w:r>
      <w:r w:rsidRPr="007314EA">
        <w:rPr>
          <w:rFonts w:ascii="Bookman Old Style" w:hAnsi="Bookman Old Style"/>
        </w:rPr>
        <w:t xml:space="preserve"> issuance of 2- and 3-</w:t>
      </w:r>
      <w:r>
        <w:rPr>
          <w:rFonts w:ascii="Bookman Old Style" w:hAnsi="Bookman Old Style"/>
        </w:rPr>
        <w:t>y</w:t>
      </w:r>
      <w:r w:rsidRPr="007314EA">
        <w:rPr>
          <w:rFonts w:ascii="Bookman Old Style" w:hAnsi="Bookman Old Style"/>
        </w:rPr>
        <w:t>ear Treasury Notes;</w:t>
      </w:r>
    </w:p>
    <w:p w14:paraId="5D6E48A7" w14:textId="77777777" w:rsidR="0021011A" w:rsidRPr="007314EA" w:rsidRDefault="0021011A" w:rsidP="0021011A">
      <w:pPr>
        <w:pStyle w:val="ListParagraph"/>
        <w:numPr>
          <w:ilvl w:val="0"/>
          <w:numId w:val="17"/>
        </w:numPr>
        <w:spacing w:after="160" w:line="360" w:lineRule="auto"/>
        <w:jc w:val="both"/>
        <w:rPr>
          <w:rFonts w:ascii="Bookman Old Style" w:hAnsi="Bookman Old Style"/>
        </w:rPr>
      </w:pPr>
      <w:r w:rsidRPr="007314EA">
        <w:rPr>
          <w:rFonts w:ascii="Bookman Old Style" w:hAnsi="Bookman Old Style"/>
        </w:rPr>
        <w:t xml:space="preserve">Strategy 3 </w:t>
      </w:r>
      <w:r>
        <w:rPr>
          <w:rFonts w:ascii="Bookman Old Style" w:hAnsi="Bookman Old Style"/>
        </w:rPr>
        <w:t xml:space="preserve">– </w:t>
      </w:r>
      <w:r w:rsidRPr="007314EA">
        <w:rPr>
          <w:rFonts w:ascii="Bookman Old Style" w:hAnsi="Bookman Old Style"/>
        </w:rPr>
        <w:t>lengthening</w:t>
      </w:r>
      <w:r>
        <w:rPr>
          <w:rFonts w:ascii="Bookman Old Style" w:hAnsi="Bookman Old Style"/>
        </w:rPr>
        <w:t xml:space="preserve"> </w:t>
      </w:r>
      <w:r w:rsidRPr="007314EA">
        <w:rPr>
          <w:rFonts w:ascii="Bookman Old Style" w:hAnsi="Bookman Old Style"/>
        </w:rPr>
        <w:t>of the domestic debt maturities by issuing 2</w:t>
      </w:r>
      <w:r>
        <w:rPr>
          <w:rFonts w:ascii="Bookman Old Style" w:hAnsi="Bookman Old Style"/>
        </w:rPr>
        <w:t>-</w:t>
      </w:r>
      <w:r w:rsidRPr="007314EA">
        <w:rPr>
          <w:rFonts w:ascii="Bookman Old Style" w:hAnsi="Bookman Old Style"/>
        </w:rPr>
        <w:t xml:space="preserve"> and 3</w:t>
      </w:r>
      <w:r>
        <w:rPr>
          <w:rFonts w:ascii="Bookman Old Style" w:hAnsi="Bookman Old Style"/>
        </w:rPr>
        <w:t>-y</w:t>
      </w:r>
      <w:r w:rsidRPr="007314EA">
        <w:rPr>
          <w:rFonts w:ascii="Bookman Old Style" w:hAnsi="Bookman Old Style"/>
        </w:rPr>
        <w:t>ear Treasury Notes while increasing the proportion of 5- and 7-Year Treasury Notes (T-Notes);</w:t>
      </w:r>
      <w:r>
        <w:rPr>
          <w:rFonts w:ascii="Bookman Old Style" w:hAnsi="Bookman Old Style"/>
        </w:rPr>
        <w:t xml:space="preserve"> </w:t>
      </w:r>
      <w:r w:rsidRPr="007314EA">
        <w:rPr>
          <w:rFonts w:ascii="Bookman Old Style" w:hAnsi="Bookman Old Style"/>
        </w:rPr>
        <w:t xml:space="preserve">and </w:t>
      </w:r>
    </w:p>
    <w:p w14:paraId="6AE62235" w14:textId="77777777" w:rsidR="0021011A" w:rsidRPr="007314EA" w:rsidRDefault="0021011A" w:rsidP="0021011A">
      <w:pPr>
        <w:pStyle w:val="ListParagraph"/>
        <w:numPr>
          <w:ilvl w:val="0"/>
          <w:numId w:val="17"/>
        </w:numPr>
        <w:spacing w:after="160" w:line="360" w:lineRule="auto"/>
        <w:jc w:val="both"/>
        <w:rPr>
          <w:rFonts w:ascii="Bookman Old Style" w:hAnsi="Bookman Old Style"/>
        </w:rPr>
      </w:pPr>
      <w:r w:rsidRPr="007314EA">
        <w:rPr>
          <w:rFonts w:ascii="Bookman Old Style" w:hAnsi="Bookman Old Style"/>
        </w:rPr>
        <w:t xml:space="preserve">Strategy 4 </w:t>
      </w:r>
      <w:r>
        <w:rPr>
          <w:rFonts w:ascii="Bookman Old Style" w:hAnsi="Bookman Old Style"/>
        </w:rPr>
        <w:t xml:space="preserve">– </w:t>
      </w:r>
      <w:r w:rsidRPr="007314EA">
        <w:rPr>
          <w:rFonts w:ascii="Bookman Old Style" w:hAnsi="Bookman Old Style"/>
        </w:rPr>
        <w:t>increased</w:t>
      </w:r>
      <w:r>
        <w:rPr>
          <w:rFonts w:ascii="Bookman Old Style" w:hAnsi="Bookman Old Style"/>
        </w:rPr>
        <w:t xml:space="preserve"> </w:t>
      </w:r>
      <w:r w:rsidRPr="007314EA">
        <w:rPr>
          <w:rFonts w:ascii="Bookman Old Style" w:hAnsi="Bookman Old Style"/>
        </w:rPr>
        <w:t xml:space="preserve">net domestic borrowing to substitute slow or non-disbursing amounts of concessional and non-concessional loans. </w:t>
      </w:r>
    </w:p>
    <w:p w14:paraId="42F0061F" w14:textId="2E470A9F" w:rsidR="00A74308" w:rsidRDefault="0021011A" w:rsidP="0021011A">
      <w:pPr>
        <w:spacing w:line="360" w:lineRule="auto"/>
        <w:rPr>
          <w:rFonts w:ascii="Bookman Old Style" w:hAnsi="Bookman Old Style"/>
        </w:rPr>
      </w:pPr>
      <w:r w:rsidRPr="007314EA">
        <w:rPr>
          <w:rFonts w:ascii="Bookman Old Style" w:hAnsi="Bookman Old Style"/>
        </w:rPr>
        <w:t>Out of the four strategies, Strategy 3 was</w:t>
      </w:r>
      <w:r>
        <w:rPr>
          <w:rFonts w:ascii="Bookman Old Style" w:hAnsi="Bookman Old Style"/>
        </w:rPr>
        <w:t xml:space="preserve"> the most</w:t>
      </w:r>
      <w:r w:rsidRPr="007314EA">
        <w:rPr>
          <w:rFonts w:ascii="Bookman Old Style" w:hAnsi="Bookman Old Style"/>
        </w:rPr>
        <w:t xml:space="preserve"> preferred </w:t>
      </w:r>
      <w:r>
        <w:rPr>
          <w:rFonts w:ascii="Bookman Old Style" w:hAnsi="Bookman Old Style"/>
        </w:rPr>
        <w:t xml:space="preserve">as it </w:t>
      </w:r>
      <w:r w:rsidRPr="007314EA">
        <w:rPr>
          <w:rFonts w:ascii="Bookman Old Style" w:hAnsi="Bookman Old Style"/>
        </w:rPr>
        <w:t>provide</w:t>
      </w:r>
      <w:r w:rsidR="00055408">
        <w:rPr>
          <w:rFonts w:ascii="Bookman Old Style" w:hAnsi="Bookman Old Style"/>
        </w:rPr>
        <w:t>d</w:t>
      </w:r>
      <w:r w:rsidRPr="007314EA">
        <w:rPr>
          <w:rFonts w:ascii="Bookman Old Style" w:hAnsi="Bookman Old Style"/>
        </w:rPr>
        <w:t xml:space="preserve"> the lowest debt maturing in one year, thus demonstrating the lower re-financing and re-fixing risks relative to the other strategies. </w:t>
      </w:r>
    </w:p>
    <w:p w14:paraId="3EAAB6B2" w14:textId="1C0920E4" w:rsidR="0021011A" w:rsidRDefault="00C90DE3" w:rsidP="0021011A">
      <w:pPr>
        <w:pStyle w:val="Heading2"/>
        <w:rPr>
          <w:lang w:val="en-US"/>
        </w:rPr>
      </w:pPr>
      <w:bookmarkStart w:id="22" w:name="_Toc433725563"/>
      <w:bookmarkStart w:id="23" w:name="_Toc88660836"/>
      <w:bookmarkEnd w:id="21"/>
      <w:r>
        <w:rPr>
          <w:lang w:val="en-US"/>
        </w:rPr>
        <w:t>1.4</w:t>
      </w:r>
      <w:r w:rsidR="0021011A">
        <w:rPr>
          <w:lang w:val="en-US"/>
        </w:rPr>
        <w:t xml:space="preserve"> </w:t>
      </w:r>
      <w:r w:rsidR="0021011A" w:rsidRPr="00B70677">
        <w:t>Newly</w:t>
      </w:r>
      <w:r w:rsidR="0021011A" w:rsidRPr="00D538C9">
        <w:rPr>
          <w:lang w:val="en-US"/>
        </w:rPr>
        <w:t xml:space="preserve"> Signed Loans</w:t>
      </w:r>
      <w:bookmarkEnd w:id="22"/>
      <w:bookmarkEnd w:id="23"/>
    </w:p>
    <w:p w14:paraId="78F31D6C" w14:textId="77777777" w:rsidR="00E279AE" w:rsidRPr="00E279AE" w:rsidRDefault="00E279AE" w:rsidP="00E279AE">
      <w:pPr>
        <w:rPr>
          <w:lang w:val="en-US"/>
        </w:rPr>
      </w:pPr>
    </w:p>
    <w:p w14:paraId="362FAA46" w14:textId="15401FAF" w:rsidR="0021011A" w:rsidRPr="004563C4" w:rsidRDefault="004563C4" w:rsidP="004563C4">
      <w:pPr>
        <w:spacing w:after="0" w:line="360" w:lineRule="auto"/>
        <w:rPr>
          <w:rFonts w:ascii="Bookman Old Style" w:hAnsi="Bookman Old Style"/>
        </w:rPr>
      </w:pPr>
      <w:r>
        <w:rPr>
          <w:rFonts w:ascii="Bookman Old Style" w:hAnsi="Bookman Old Style"/>
        </w:rPr>
        <w:t>Government signed eight</w:t>
      </w:r>
      <w:r w:rsidR="0083775B">
        <w:rPr>
          <w:rFonts w:ascii="Bookman Old Style" w:hAnsi="Bookman Old Style"/>
        </w:rPr>
        <w:t xml:space="preserve"> loans in the </w:t>
      </w:r>
      <w:r w:rsidR="00D649CF">
        <w:rPr>
          <w:rFonts w:ascii="Bookman Old Style" w:hAnsi="Bookman Old Style"/>
        </w:rPr>
        <w:t>FY</w:t>
      </w:r>
      <w:r w:rsidR="0083775B">
        <w:rPr>
          <w:rFonts w:ascii="Bookman Old Style" w:hAnsi="Bookman Old Style"/>
        </w:rPr>
        <w:t xml:space="preserve">2020/21 </w:t>
      </w:r>
      <w:r>
        <w:rPr>
          <w:rFonts w:ascii="Bookman Old Style" w:hAnsi="Bookman Old Style"/>
        </w:rPr>
        <w:t>totalling</w:t>
      </w:r>
      <w:r w:rsidR="0083775B">
        <w:rPr>
          <w:rFonts w:ascii="Bookman Old Style" w:hAnsi="Bookman Old Style"/>
        </w:rPr>
        <w:t xml:space="preserve"> USD</w:t>
      </w:r>
      <w:r w:rsidRPr="004563C4">
        <w:rPr>
          <w:rFonts w:ascii="Bookman Old Style" w:hAnsi="Bookman Old Style"/>
        </w:rPr>
        <w:t xml:space="preserve">319.77 </w:t>
      </w:r>
      <w:r>
        <w:rPr>
          <w:rFonts w:ascii="Bookman Old Style" w:hAnsi="Bookman Old Style"/>
        </w:rPr>
        <w:t>million</w:t>
      </w:r>
      <w:r w:rsidR="0021011A">
        <w:rPr>
          <w:rFonts w:ascii="Bookman Old Style" w:hAnsi="Bookman Old Style"/>
        </w:rPr>
        <w:t xml:space="preserve">. The loans were </w:t>
      </w:r>
      <w:r w:rsidR="0021011A" w:rsidRPr="007314EA">
        <w:rPr>
          <w:rFonts w:ascii="Bookman Old Style" w:hAnsi="Bookman Old Style"/>
        </w:rPr>
        <w:t xml:space="preserve">from the </w:t>
      </w:r>
      <w:r w:rsidR="0021011A">
        <w:rPr>
          <w:rFonts w:ascii="Bookman Old Style" w:hAnsi="Bookman Old Style"/>
        </w:rPr>
        <w:t>International Development Association (IDA) of the World Bank</w:t>
      </w:r>
      <w:r w:rsidR="00B450E2">
        <w:rPr>
          <w:rFonts w:ascii="Bookman Old Style" w:hAnsi="Bookman Old Style"/>
        </w:rPr>
        <w:t>, African Development Fund</w:t>
      </w:r>
      <w:r w:rsidR="00A16F8E">
        <w:rPr>
          <w:rFonts w:ascii="Bookman Old Style" w:hAnsi="Bookman Old Style"/>
        </w:rPr>
        <w:t xml:space="preserve"> (ADF)</w:t>
      </w:r>
      <w:r w:rsidR="00D649CF">
        <w:rPr>
          <w:rFonts w:ascii="Bookman Old Style" w:hAnsi="Bookman Old Style"/>
        </w:rPr>
        <w:t xml:space="preserve"> of the African Development Bank </w:t>
      </w:r>
      <w:r w:rsidR="00B450E2">
        <w:rPr>
          <w:rFonts w:ascii="Bookman Old Style" w:hAnsi="Bookman Old Style"/>
        </w:rPr>
        <w:t>(AfDB), International Fund for Agricultural Development (IFAD),</w:t>
      </w:r>
      <w:r w:rsidR="00B450E2" w:rsidRPr="00B450E2">
        <w:rPr>
          <w:rFonts w:ascii="Bookman Old Style" w:hAnsi="Bookman Old Style"/>
        </w:rPr>
        <w:t xml:space="preserve"> </w:t>
      </w:r>
      <w:r w:rsidR="00B450E2">
        <w:rPr>
          <w:rFonts w:ascii="Bookman Old Style" w:hAnsi="Bookman Old Style"/>
        </w:rPr>
        <w:t>OPEC Fund for International Development (</w:t>
      </w:r>
      <w:r w:rsidR="00D649CF">
        <w:rPr>
          <w:rFonts w:ascii="Bookman Old Style" w:hAnsi="Bookman Old Style"/>
        </w:rPr>
        <w:t>OPEC Fund</w:t>
      </w:r>
      <w:r w:rsidR="00B450E2">
        <w:rPr>
          <w:rFonts w:ascii="Bookman Old Style" w:hAnsi="Bookman Old Style"/>
        </w:rPr>
        <w:t>), European Investment Bank (EIB)</w:t>
      </w:r>
      <w:r>
        <w:rPr>
          <w:rFonts w:ascii="Bookman Old Style" w:hAnsi="Bookman Old Style"/>
        </w:rPr>
        <w:t xml:space="preserve"> and</w:t>
      </w:r>
      <w:r w:rsidR="00D649CF">
        <w:rPr>
          <w:rFonts w:ascii="Bookman Old Style" w:hAnsi="Bookman Old Style"/>
        </w:rPr>
        <w:t xml:space="preserve"> Export</w:t>
      </w:r>
      <w:r w:rsidR="0021011A">
        <w:rPr>
          <w:rFonts w:ascii="Bookman Old Style" w:hAnsi="Bookman Old Style"/>
        </w:rPr>
        <w:t xml:space="preserve">–Import </w:t>
      </w:r>
      <w:r w:rsidR="00A16F8E">
        <w:rPr>
          <w:rFonts w:ascii="Bookman Old Style" w:hAnsi="Bookman Old Style"/>
        </w:rPr>
        <w:t xml:space="preserve">(EXIM) </w:t>
      </w:r>
      <w:r w:rsidR="0021011A">
        <w:rPr>
          <w:rFonts w:ascii="Bookman Old Style" w:hAnsi="Bookman Old Style"/>
        </w:rPr>
        <w:t xml:space="preserve">Bank of </w:t>
      </w:r>
      <w:r w:rsidR="00297A4F">
        <w:rPr>
          <w:rFonts w:ascii="Bookman Old Style" w:hAnsi="Bookman Old Style"/>
        </w:rPr>
        <w:t>China</w:t>
      </w:r>
      <w:r w:rsidR="0021011A" w:rsidRPr="007314EA">
        <w:rPr>
          <w:rFonts w:ascii="Bookman Old Style" w:hAnsi="Bookman Old Style"/>
        </w:rPr>
        <w:t>. The loan</w:t>
      </w:r>
      <w:r w:rsidR="0021011A">
        <w:rPr>
          <w:rFonts w:ascii="Bookman Old Style" w:hAnsi="Bookman Old Style"/>
        </w:rPr>
        <w:t>s</w:t>
      </w:r>
      <w:r w:rsidR="0021011A" w:rsidRPr="007314EA">
        <w:rPr>
          <w:rFonts w:ascii="Bookman Old Style" w:hAnsi="Bookman Old Style"/>
        </w:rPr>
        <w:t xml:space="preserve"> will </w:t>
      </w:r>
      <w:r w:rsidRPr="007314EA">
        <w:rPr>
          <w:rFonts w:ascii="Bookman Old Style" w:hAnsi="Bookman Old Style"/>
        </w:rPr>
        <w:t xml:space="preserve">finance </w:t>
      </w:r>
      <w:r>
        <w:rPr>
          <w:rFonts w:ascii="Bookman Old Style" w:hAnsi="Bookman Old Style"/>
        </w:rPr>
        <w:t>COVID-19- related responses, I</w:t>
      </w:r>
      <w:r w:rsidR="007221FA">
        <w:rPr>
          <w:rFonts w:ascii="Bookman Old Style" w:hAnsi="Bookman Old Style"/>
        </w:rPr>
        <w:t xml:space="preserve">nformation </w:t>
      </w:r>
      <w:r>
        <w:rPr>
          <w:rFonts w:ascii="Bookman Old Style" w:hAnsi="Bookman Old Style"/>
        </w:rPr>
        <w:t>C</w:t>
      </w:r>
      <w:r w:rsidR="007221FA">
        <w:rPr>
          <w:rFonts w:ascii="Bookman Old Style" w:hAnsi="Bookman Old Style"/>
        </w:rPr>
        <w:t xml:space="preserve">ommunications and </w:t>
      </w:r>
      <w:r w:rsidR="00360E38">
        <w:rPr>
          <w:rFonts w:ascii="Bookman Old Style" w:hAnsi="Bookman Old Style"/>
        </w:rPr>
        <w:t>Technology development</w:t>
      </w:r>
      <w:r>
        <w:rPr>
          <w:rFonts w:ascii="Bookman Old Style" w:hAnsi="Bookman Old Style"/>
        </w:rPr>
        <w:t>, financial inclusion, tourism,</w:t>
      </w:r>
      <w:r w:rsidR="0021011A">
        <w:rPr>
          <w:rFonts w:ascii="Bookman Old Style" w:hAnsi="Bookman Old Style"/>
        </w:rPr>
        <w:t xml:space="preserve"> </w:t>
      </w:r>
      <w:r w:rsidR="0021011A" w:rsidRPr="007314EA">
        <w:rPr>
          <w:rFonts w:ascii="Bookman Old Style" w:hAnsi="Bookman Old Style"/>
        </w:rPr>
        <w:t xml:space="preserve">water and agriculture sectors (Refer to Annex 1). </w:t>
      </w:r>
    </w:p>
    <w:p w14:paraId="5DA41093" w14:textId="77777777" w:rsidR="0021011A" w:rsidRDefault="0021011A" w:rsidP="0038044A">
      <w:pPr>
        <w:pStyle w:val="ListParagraph"/>
        <w:spacing w:line="360" w:lineRule="auto"/>
        <w:ind w:left="0"/>
        <w:jc w:val="both"/>
        <w:rPr>
          <w:rFonts w:ascii="Bookman Old Style" w:hAnsi="Bookman Old Style"/>
        </w:rPr>
      </w:pPr>
    </w:p>
    <w:p w14:paraId="7A1CCCBD" w14:textId="3DBB4F10" w:rsidR="0021011A" w:rsidRPr="007314EA" w:rsidRDefault="0021011A" w:rsidP="0038044A">
      <w:pPr>
        <w:spacing w:after="0" w:line="360" w:lineRule="auto"/>
        <w:rPr>
          <w:rFonts w:ascii="Bookman Old Style" w:hAnsi="Bookman Old Style"/>
        </w:rPr>
      </w:pPr>
      <w:r>
        <w:rPr>
          <w:rFonts w:ascii="Bookman Old Style" w:hAnsi="Bookman Old Style"/>
        </w:rPr>
        <w:t>Of the eight newly signed loans, Government on-</w:t>
      </w:r>
      <w:r w:rsidR="00C90DE3">
        <w:rPr>
          <w:rFonts w:ascii="Bookman Old Style" w:hAnsi="Bookman Old Style"/>
        </w:rPr>
        <w:t>lent the</w:t>
      </w:r>
      <w:r w:rsidR="00C627B6">
        <w:rPr>
          <w:rFonts w:ascii="Bookman Old Style" w:hAnsi="Bookman Old Style"/>
        </w:rPr>
        <w:t xml:space="preserve"> </w:t>
      </w:r>
      <w:r w:rsidR="00C627B6" w:rsidRPr="00C627B6">
        <w:rPr>
          <w:rFonts w:ascii="Bookman Old Style" w:hAnsi="Bookman Old Style"/>
        </w:rPr>
        <w:t>Malawi National Fibre Backbone Phase II loan</w:t>
      </w:r>
      <w:r w:rsidR="00060624">
        <w:rPr>
          <w:rFonts w:ascii="Bookman Old Style" w:hAnsi="Bookman Old Style"/>
        </w:rPr>
        <w:t xml:space="preserve"> from EXIM Bank of China</w:t>
      </w:r>
      <w:r w:rsidR="00C627B6" w:rsidRPr="00C627B6">
        <w:rPr>
          <w:rFonts w:ascii="Bookman Old Style" w:hAnsi="Bookman Old Style"/>
        </w:rPr>
        <w:t xml:space="preserve"> to Electricity Supply Commission of Malawi</w:t>
      </w:r>
      <w:r w:rsidR="00C90DE3">
        <w:rPr>
          <w:rFonts w:ascii="Bookman Old Style" w:hAnsi="Bookman Old Style"/>
        </w:rPr>
        <w:t>.</w:t>
      </w:r>
    </w:p>
    <w:p w14:paraId="5BB8FC18" w14:textId="34411E22" w:rsidR="0021011A" w:rsidRDefault="0021011A" w:rsidP="0021011A">
      <w:pPr>
        <w:pStyle w:val="ListParagraph"/>
        <w:spacing w:line="360" w:lineRule="auto"/>
        <w:ind w:left="0"/>
        <w:jc w:val="both"/>
        <w:rPr>
          <w:rFonts w:ascii="Bookman Old Style" w:hAnsi="Bookman Old Style"/>
          <w:color w:val="000000"/>
          <w:lang w:val="en-US"/>
        </w:rPr>
      </w:pPr>
    </w:p>
    <w:p w14:paraId="62AC1EA0" w14:textId="5625C27C" w:rsidR="0021011A" w:rsidRDefault="00C90DE3" w:rsidP="0021011A">
      <w:pPr>
        <w:pStyle w:val="Heading2"/>
      </w:pPr>
      <w:bookmarkStart w:id="24" w:name="_Toc88660837"/>
      <w:r>
        <w:t>1.5</w:t>
      </w:r>
      <w:r w:rsidR="0021011A">
        <w:t xml:space="preserve"> Communication and Investor Awareness</w:t>
      </w:r>
      <w:bookmarkEnd w:id="24"/>
    </w:p>
    <w:p w14:paraId="37115B82" w14:textId="77777777" w:rsidR="00E279AE" w:rsidRPr="00E279AE" w:rsidRDefault="00E279AE" w:rsidP="00E279AE"/>
    <w:p w14:paraId="1A070D0C" w14:textId="233FEC58" w:rsidR="00F45CDF" w:rsidRDefault="00055408" w:rsidP="0021011A">
      <w:pPr>
        <w:pStyle w:val="ListParagraph"/>
        <w:spacing w:line="360" w:lineRule="auto"/>
        <w:ind w:left="0"/>
        <w:jc w:val="both"/>
        <w:rPr>
          <w:rFonts w:ascii="Bookman Old Style" w:hAnsi="Bookman Old Style"/>
        </w:rPr>
      </w:pPr>
      <w:r>
        <w:rPr>
          <w:rFonts w:ascii="Bookman Old Style" w:hAnsi="Bookman Old Style"/>
        </w:rPr>
        <w:t>On a regular basis, Treasury</w:t>
      </w:r>
      <w:r w:rsidR="00FD2C41">
        <w:rPr>
          <w:rFonts w:ascii="Bookman Old Style" w:hAnsi="Bookman Old Style"/>
        </w:rPr>
        <w:t xml:space="preserve"> in conjunction with </w:t>
      </w:r>
      <w:r w:rsidR="00360E38">
        <w:rPr>
          <w:rFonts w:ascii="Bookman Old Style" w:hAnsi="Bookman Old Style"/>
        </w:rPr>
        <w:t xml:space="preserve">the </w:t>
      </w:r>
      <w:r w:rsidR="00360E38">
        <w:rPr>
          <w:rFonts w:ascii="Bookman Old Style" w:hAnsi="Bookman Old Style"/>
        </w:rPr>
        <w:t>Reserve Bank of Malawi</w:t>
      </w:r>
      <w:r w:rsidR="00360E38">
        <w:rPr>
          <w:rFonts w:ascii="Bookman Old Style" w:hAnsi="Bookman Old Style"/>
        </w:rPr>
        <w:t xml:space="preserve"> (</w:t>
      </w:r>
      <w:r w:rsidR="00FD2C41">
        <w:rPr>
          <w:rFonts w:ascii="Bookman Old Style" w:hAnsi="Bookman Old Style"/>
        </w:rPr>
        <w:t>RBM</w:t>
      </w:r>
      <w:r w:rsidR="00360E38">
        <w:rPr>
          <w:rFonts w:ascii="Bookman Old Style" w:hAnsi="Bookman Old Style"/>
        </w:rPr>
        <w:t>)</w:t>
      </w:r>
      <w:r w:rsidR="00FD2C41">
        <w:rPr>
          <w:rFonts w:ascii="Bookman Old Style" w:hAnsi="Bookman Old Style"/>
        </w:rPr>
        <w:t xml:space="preserve"> conduct interface meetings with the various domestic debt market players. The objective of these meetings is to get input in the formulation of debt issuance calendars as well as get insights on market developments. Furthermore, through these meeting</w:t>
      </w:r>
      <w:r w:rsidR="00360E38">
        <w:rPr>
          <w:rFonts w:ascii="Bookman Old Style" w:hAnsi="Bookman Old Style"/>
        </w:rPr>
        <w:t>s</w:t>
      </w:r>
      <w:r w:rsidR="00FD2C41">
        <w:rPr>
          <w:rFonts w:ascii="Bookman Old Style" w:hAnsi="Bookman Old Style"/>
        </w:rPr>
        <w:t xml:space="preserve">, Treasury gets insight on what the </w:t>
      </w:r>
      <w:r w:rsidR="00FD2C41">
        <w:rPr>
          <w:rFonts w:ascii="Bookman Old Style" w:hAnsi="Bookman Old Style"/>
        </w:rPr>
        <w:lastRenderedPageBreak/>
        <w:t>market expects from Treasury</w:t>
      </w:r>
      <w:r w:rsidR="006A2070">
        <w:rPr>
          <w:rFonts w:ascii="Bookman Old Style" w:hAnsi="Bookman Old Style"/>
        </w:rPr>
        <w:t xml:space="preserve"> </w:t>
      </w:r>
      <w:r w:rsidR="006A2070" w:rsidRPr="006A2070">
        <w:rPr>
          <w:rFonts w:ascii="Bookman Old Style" w:hAnsi="Bookman Old Style"/>
        </w:rPr>
        <w:t>vis-à-vis</w:t>
      </w:r>
      <w:r w:rsidR="00FD2C41">
        <w:rPr>
          <w:rFonts w:ascii="Bookman Old Style" w:hAnsi="Bookman Old Style"/>
        </w:rPr>
        <w:t xml:space="preserve"> issuance of debt securities. Going forward, Treasury will sustain these meetings as they have proved to be very crucial in as far as domestic debt issuance is concerned.</w:t>
      </w:r>
    </w:p>
    <w:p w14:paraId="3D3EC17A" w14:textId="3E830D19" w:rsidR="0021011A" w:rsidRDefault="00C90DE3" w:rsidP="0021011A">
      <w:pPr>
        <w:pStyle w:val="Heading2"/>
      </w:pPr>
      <w:bookmarkStart w:id="25" w:name="_Toc88660838"/>
      <w:bookmarkStart w:id="26" w:name="_Toc433725565"/>
      <w:r>
        <w:t>1.6</w:t>
      </w:r>
      <w:r w:rsidR="0021011A">
        <w:t xml:space="preserve"> </w:t>
      </w:r>
      <w:r w:rsidR="00A74308">
        <w:t xml:space="preserve">Performance of </w:t>
      </w:r>
      <w:r w:rsidR="0021011A" w:rsidRPr="007314EA">
        <w:t xml:space="preserve">Debt </w:t>
      </w:r>
      <w:r w:rsidR="0021011A" w:rsidRPr="00B70677">
        <w:t>Securities</w:t>
      </w:r>
      <w:r w:rsidR="0021011A" w:rsidRPr="007314EA">
        <w:t xml:space="preserve"> Issuance Calendar</w:t>
      </w:r>
      <w:bookmarkEnd w:id="25"/>
    </w:p>
    <w:p w14:paraId="724BD307" w14:textId="77777777" w:rsidR="00E279AE" w:rsidRPr="00E279AE" w:rsidRDefault="00E279AE" w:rsidP="00E279AE"/>
    <w:p w14:paraId="1517437B" w14:textId="4129F34B" w:rsidR="00A74308" w:rsidRDefault="0021011A" w:rsidP="00E968C6">
      <w:pPr>
        <w:spacing w:line="360" w:lineRule="auto"/>
        <w:rPr>
          <w:rFonts w:ascii="Bookman Old Style" w:hAnsi="Bookman Old Style"/>
        </w:rPr>
      </w:pPr>
      <w:r w:rsidRPr="007314EA">
        <w:rPr>
          <w:rFonts w:ascii="Bookman Old Style" w:hAnsi="Bookman Old Style"/>
        </w:rPr>
        <w:t xml:space="preserve">During the </w:t>
      </w:r>
      <w:r w:rsidR="00561CC3">
        <w:rPr>
          <w:rFonts w:ascii="Bookman Old Style" w:hAnsi="Bookman Old Style"/>
        </w:rPr>
        <w:t>FY2020/2</w:t>
      </w:r>
      <w:r w:rsidR="004A105E">
        <w:rPr>
          <w:rFonts w:ascii="Bookman Old Style" w:hAnsi="Bookman Old Style"/>
        </w:rPr>
        <w:t>1</w:t>
      </w:r>
      <w:r w:rsidR="00561CC3">
        <w:rPr>
          <w:rFonts w:ascii="Bookman Old Style" w:hAnsi="Bookman Old Style"/>
        </w:rPr>
        <w:t xml:space="preserve">, </w:t>
      </w:r>
      <w:r w:rsidR="00561CC3" w:rsidRPr="007314EA">
        <w:rPr>
          <w:rFonts w:ascii="Bookman Old Style" w:hAnsi="Bookman Old Style"/>
        </w:rPr>
        <w:t>Government</w:t>
      </w:r>
      <w:r w:rsidRPr="007314EA">
        <w:rPr>
          <w:rFonts w:ascii="Bookman Old Style" w:hAnsi="Bookman Old Style"/>
        </w:rPr>
        <w:t xml:space="preserve"> in collaboration </w:t>
      </w:r>
      <w:r w:rsidR="00E279AE">
        <w:rPr>
          <w:rFonts w:ascii="Bookman Old Style" w:hAnsi="Bookman Old Style"/>
        </w:rPr>
        <w:t>RBM,</w:t>
      </w:r>
      <w:r>
        <w:rPr>
          <w:rFonts w:ascii="Bookman Old Style" w:hAnsi="Bookman Old Style"/>
        </w:rPr>
        <w:t xml:space="preserve"> </w:t>
      </w:r>
      <w:r w:rsidR="00E279AE">
        <w:rPr>
          <w:rFonts w:ascii="Bookman Old Style" w:hAnsi="Bookman Old Style"/>
        </w:rPr>
        <w:t>issued quarterly Treasury</w:t>
      </w:r>
      <w:r w:rsidR="00561CC3">
        <w:rPr>
          <w:rFonts w:ascii="Bookman Old Style" w:hAnsi="Bookman Old Style"/>
        </w:rPr>
        <w:t xml:space="preserve"> Securities </w:t>
      </w:r>
      <w:r w:rsidRPr="007314EA">
        <w:rPr>
          <w:rFonts w:ascii="Bookman Old Style" w:hAnsi="Bookman Old Style"/>
        </w:rPr>
        <w:t xml:space="preserve">Issuance </w:t>
      </w:r>
      <w:r w:rsidR="003D71B6" w:rsidRPr="007314EA">
        <w:rPr>
          <w:rFonts w:ascii="Bookman Old Style" w:hAnsi="Bookman Old Style"/>
        </w:rPr>
        <w:t>Calendar</w:t>
      </w:r>
      <w:r w:rsidR="00E279AE">
        <w:rPr>
          <w:rFonts w:ascii="Bookman Old Style" w:hAnsi="Bookman Old Style"/>
        </w:rPr>
        <w:t>s</w:t>
      </w:r>
      <w:r w:rsidR="003D71B6" w:rsidRPr="007314EA">
        <w:rPr>
          <w:rFonts w:ascii="Bookman Old Style" w:hAnsi="Bookman Old Style"/>
        </w:rPr>
        <w:t>, which</w:t>
      </w:r>
      <w:r w:rsidR="00E279AE">
        <w:rPr>
          <w:rFonts w:ascii="Bookman Old Style" w:hAnsi="Bookman Old Style"/>
        </w:rPr>
        <w:t xml:space="preserve"> were</w:t>
      </w:r>
      <w:r w:rsidRPr="007314EA">
        <w:rPr>
          <w:rFonts w:ascii="Bookman Old Style" w:hAnsi="Bookman Old Style"/>
        </w:rPr>
        <w:t xml:space="preserve"> published </w:t>
      </w:r>
      <w:r w:rsidR="00E95DE7">
        <w:rPr>
          <w:rFonts w:ascii="Bookman Old Style" w:hAnsi="Bookman Old Style"/>
        </w:rPr>
        <w:t>on both M</w:t>
      </w:r>
      <w:r w:rsidR="007221FA">
        <w:rPr>
          <w:rFonts w:ascii="Bookman Old Style" w:hAnsi="Bookman Old Style"/>
        </w:rPr>
        <w:t>inistry of Finance (MoF)</w:t>
      </w:r>
      <w:r w:rsidR="00E95DE7">
        <w:rPr>
          <w:rFonts w:ascii="Bookman Old Style" w:hAnsi="Bookman Old Style"/>
        </w:rPr>
        <w:t xml:space="preserve"> and RBM websites, </w:t>
      </w:r>
      <w:r w:rsidR="00E279AE">
        <w:rPr>
          <w:rFonts w:ascii="Bookman Old Style" w:hAnsi="Bookman Old Style"/>
        </w:rPr>
        <w:t>including indicative</w:t>
      </w:r>
      <w:r>
        <w:rPr>
          <w:rFonts w:ascii="Bookman Old Style" w:hAnsi="Bookman Old Style"/>
        </w:rPr>
        <w:t xml:space="preserve"> amounts</w:t>
      </w:r>
      <w:r w:rsidRPr="007314EA">
        <w:rPr>
          <w:rFonts w:ascii="Bookman Old Style" w:hAnsi="Bookman Old Style"/>
        </w:rPr>
        <w:t xml:space="preserve">. </w:t>
      </w:r>
      <w:r w:rsidR="00544D58" w:rsidRPr="007314EA">
        <w:rPr>
          <w:rFonts w:ascii="Bookman Old Style" w:hAnsi="Bookman Old Style"/>
        </w:rPr>
        <w:t>The</w:t>
      </w:r>
      <w:r w:rsidR="00544D58">
        <w:rPr>
          <w:rFonts w:ascii="Bookman Old Style" w:hAnsi="Bookman Old Style"/>
        </w:rPr>
        <w:t xml:space="preserve"> 2019</w:t>
      </w:r>
      <w:r w:rsidR="00544D58" w:rsidRPr="007314EA">
        <w:rPr>
          <w:rFonts w:ascii="Bookman Old Style" w:hAnsi="Bookman Old Style"/>
        </w:rPr>
        <w:t xml:space="preserve">-2022 </w:t>
      </w:r>
      <w:r w:rsidR="00544D58">
        <w:rPr>
          <w:rFonts w:ascii="Bookman Old Style" w:hAnsi="Bookman Old Style"/>
        </w:rPr>
        <w:t xml:space="preserve">MTDS guided the development of the </w:t>
      </w:r>
      <w:r w:rsidR="00544D58" w:rsidRPr="007314EA">
        <w:rPr>
          <w:rFonts w:ascii="Bookman Old Style" w:hAnsi="Bookman Old Style"/>
        </w:rPr>
        <w:t>Issuance</w:t>
      </w:r>
      <w:r w:rsidRPr="007314EA">
        <w:rPr>
          <w:rFonts w:ascii="Bookman Old Style" w:hAnsi="Bookman Old Style"/>
        </w:rPr>
        <w:t xml:space="preserve"> Calendar</w:t>
      </w:r>
      <w:r w:rsidR="00E279AE">
        <w:rPr>
          <w:rFonts w:ascii="Bookman Old Style" w:hAnsi="Bookman Old Style"/>
        </w:rPr>
        <w:t>s</w:t>
      </w:r>
      <w:r w:rsidRPr="007314EA">
        <w:rPr>
          <w:rFonts w:ascii="Bookman Old Style" w:hAnsi="Bookman Old Style"/>
        </w:rPr>
        <w:t xml:space="preserve">. </w:t>
      </w:r>
      <w:r w:rsidR="00561CC3">
        <w:rPr>
          <w:rFonts w:ascii="Bookman Old Style" w:hAnsi="Bookman Old Style"/>
        </w:rPr>
        <w:t xml:space="preserve"> Overall,</w:t>
      </w:r>
      <w:r w:rsidR="00A74308">
        <w:rPr>
          <w:rFonts w:ascii="Bookman Old Style" w:hAnsi="Bookman Old Style"/>
        </w:rPr>
        <w:t xml:space="preserve"> actual performance was not as planned as Treasury Bills </w:t>
      </w:r>
      <w:r w:rsidR="00561CC3">
        <w:rPr>
          <w:rFonts w:ascii="Bookman Old Style" w:hAnsi="Bookman Old Style"/>
        </w:rPr>
        <w:t>recorde</w:t>
      </w:r>
      <w:r w:rsidR="00A74308">
        <w:rPr>
          <w:rFonts w:ascii="Bookman Old Style" w:hAnsi="Bookman Old Style"/>
        </w:rPr>
        <w:t>d an over issuance of around MK</w:t>
      </w:r>
      <w:r w:rsidR="00561CC3">
        <w:rPr>
          <w:rFonts w:ascii="Bookman Old Style" w:hAnsi="Bookman Old Style"/>
        </w:rPr>
        <w:t xml:space="preserve">17.32 billion while Treasury Notes issuances underperformed by </w:t>
      </w:r>
      <w:r w:rsidR="00A74308">
        <w:rPr>
          <w:rFonts w:ascii="Bookman Old Style" w:hAnsi="Bookman Old Style"/>
        </w:rPr>
        <w:t>MK</w:t>
      </w:r>
      <w:r w:rsidR="0053459A">
        <w:rPr>
          <w:rFonts w:ascii="Bookman Old Style" w:hAnsi="Bookman Old Style"/>
        </w:rPr>
        <w:t>93.32 billion.</w:t>
      </w:r>
    </w:p>
    <w:p w14:paraId="7B0D846C" w14:textId="77777777" w:rsidR="00D51C22" w:rsidRDefault="00D51C22" w:rsidP="00E968C6">
      <w:pPr>
        <w:spacing w:line="360" w:lineRule="auto"/>
        <w:rPr>
          <w:rFonts w:ascii="Bookman Old Style" w:hAnsi="Bookman Old Style"/>
        </w:rPr>
      </w:pPr>
    </w:p>
    <w:p w14:paraId="3ECB9D62" w14:textId="1CF4888E" w:rsidR="00F004E4" w:rsidRPr="007D4EF0" w:rsidRDefault="00F004E4" w:rsidP="007D4EF0">
      <w:pPr>
        <w:pStyle w:val="Caption"/>
        <w:jc w:val="both"/>
        <w:rPr>
          <w:rFonts w:ascii="Bookman Old Style" w:hAnsi="Bookman Old Style"/>
          <w:sz w:val="24"/>
          <w:szCs w:val="24"/>
        </w:rPr>
      </w:pPr>
      <w:bookmarkStart w:id="27" w:name="_Toc87373886"/>
      <w:bookmarkStart w:id="28" w:name="_Toc88660947"/>
      <w:r w:rsidRPr="00F004E4">
        <w:rPr>
          <w:rFonts w:ascii="Bookman Old Style" w:hAnsi="Bookman Old Style"/>
          <w:sz w:val="24"/>
          <w:szCs w:val="24"/>
        </w:rPr>
        <w:t xml:space="preserve">Figure </w:t>
      </w:r>
      <w:r>
        <w:rPr>
          <w:rFonts w:ascii="Bookman Old Style" w:hAnsi="Bookman Old Style"/>
          <w:sz w:val="24"/>
          <w:szCs w:val="24"/>
        </w:rPr>
        <w:fldChar w:fldCharType="begin"/>
      </w:r>
      <w:r>
        <w:rPr>
          <w:rFonts w:ascii="Bookman Old Style" w:hAnsi="Bookman Old Style"/>
          <w:sz w:val="24"/>
          <w:szCs w:val="24"/>
        </w:rPr>
        <w:instrText xml:space="preserve"> SEQ Figure \* ARABIC </w:instrText>
      </w:r>
      <w:r>
        <w:rPr>
          <w:rFonts w:ascii="Bookman Old Style" w:hAnsi="Bookman Old Style"/>
          <w:sz w:val="24"/>
          <w:szCs w:val="24"/>
        </w:rPr>
        <w:fldChar w:fldCharType="separate"/>
      </w:r>
      <w:r w:rsidR="00924FE2">
        <w:rPr>
          <w:rFonts w:ascii="Bookman Old Style" w:hAnsi="Bookman Old Style"/>
          <w:noProof/>
          <w:sz w:val="24"/>
          <w:szCs w:val="24"/>
        </w:rPr>
        <w:t>1</w:t>
      </w:r>
      <w:r>
        <w:rPr>
          <w:rFonts w:ascii="Bookman Old Style" w:hAnsi="Bookman Old Style"/>
          <w:sz w:val="24"/>
          <w:szCs w:val="24"/>
        </w:rPr>
        <w:fldChar w:fldCharType="end"/>
      </w:r>
      <w:r w:rsidRPr="00F004E4">
        <w:rPr>
          <w:rFonts w:ascii="Bookman Old Style" w:hAnsi="Bookman Old Style"/>
          <w:sz w:val="24"/>
          <w:szCs w:val="24"/>
        </w:rPr>
        <w:t>: Aggregated Issuance Calendar vs Actual</w:t>
      </w:r>
      <w:bookmarkEnd w:id="27"/>
      <w:r w:rsidR="00E667C6">
        <w:rPr>
          <w:rFonts w:ascii="Bookman Old Style" w:hAnsi="Bookman Old Style"/>
          <w:sz w:val="24"/>
          <w:szCs w:val="24"/>
        </w:rPr>
        <w:t xml:space="preserve"> FY</w:t>
      </w:r>
      <w:r w:rsidR="001744B9">
        <w:rPr>
          <w:rFonts w:ascii="Bookman Old Style" w:hAnsi="Bookman Old Style"/>
          <w:sz w:val="24"/>
          <w:szCs w:val="24"/>
        </w:rPr>
        <w:t>2020/21</w:t>
      </w:r>
      <w:bookmarkEnd w:id="28"/>
    </w:p>
    <w:p w14:paraId="68E1FE58" w14:textId="4CD3FB5A" w:rsidR="00561CC3" w:rsidRDefault="00241117" w:rsidP="00BD45A7">
      <w:pPr>
        <w:spacing w:after="0" w:line="360" w:lineRule="auto"/>
        <w:rPr>
          <w:rFonts w:ascii="Bookman Old Style" w:hAnsi="Bookman Old Style"/>
        </w:rPr>
      </w:pPr>
      <w:r w:rsidRPr="00241117">
        <w:rPr>
          <w:noProof/>
          <w:u w:val="single"/>
          <w:lang w:eastAsia="en-GB"/>
        </w:rPr>
        <w:drawing>
          <wp:inline distT="0" distB="0" distL="0" distR="0" wp14:anchorId="7B5E836F" wp14:editId="48DB88C7">
            <wp:extent cx="5654040" cy="22479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DCEA90" w14:textId="2CD646E9" w:rsidR="00544D58" w:rsidRDefault="00561CC3" w:rsidP="00BD45A7">
      <w:pPr>
        <w:spacing w:after="0" w:line="360" w:lineRule="auto"/>
        <w:rPr>
          <w:rFonts w:ascii="Bookman Old Style" w:hAnsi="Bookman Old Style"/>
        </w:rPr>
      </w:pPr>
      <w:r>
        <w:rPr>
          <w:rFonts w:ascii="Bookman Old Style" w:hAnsi="Bookman Old Style"/>
        </w:rPr>
        <w:t>Source</w:t>
      </w:r>
      <w:r w:rsidR="008C062A">
        <w:rPr>
          <w:rFonts w:ascii="Bookman Old Style" w:hAnsi="Bookman Old Style"/>
        </w:rPr>
        <w:t>s</w:t>
      </w:r>
      <w:r>
        <w:rPr>
          <w:rFonts w:ascii="Bookman Old Style" w:hAnsi="Bookman Old Style"/>
        </w:rPr>
        <w:t>: M</w:t>
      </w:r>
      <w:bookmarkEnd w:id="26"/>
      <w:r w:rsidR="0042692A">
        <w:rPr>
          <w:rFonts w:ascii="Bookman Old Style" w:hAnsi="Bookman Old Style"/>
        </w:rPr>
        <w:t>oF staff calculations.</w:t>
      </w:r>
    </w:p>
    <w:p w14:paraId="568671BE" w14:textId="77777777" w:rsidR="00D51C22" w:rsidRPr="00A74308" w:rsidRDefault="00D51C22" w:rsidP="00BD45A7">
      <w:pPr>
        <w:spacing w:after="0" w:line="360" w:lineRule="auto"/>
        <w:rPr>
          <w:rFonts w:ascii="Bookman Old Style" w:hAnsi="Bookman Old Style"/>
        </w:rPr>
      </w:pPr>
    </w:p>
    <w:p w14:paraId="5AA8CE37" w14:textId="3B932B9A" w:rsidR="00161B07" w:rsidRPr="007314EA" w:rsidRDefault="00161B07" w:rsidP="00161B07">
      <w:pPr>
        <w:pStyle w:val="Heading2"/>
      </w:pPr>
      <w:bookmarkStart w:id="29" w:name="_Toc88660839"/>
      <w:r>
        <w:t xml:space="preserve">1.7 </w:t>
      </w:r>
      <w:r>
        <w:rPr>
          <w:color w:val="000000"/>
        </w:rPr>
        <w:t>Decomposition of Public Debt Drivers</w:t>
      </w:r>
      <w:bookmarkEnd w:id="29"/>
    </w:p>
    <w:p w14:paraId="7EE35CE4" w14:textId="02E23693" w:rsidR="0053459A" w:rsidRDefault="0053459A" w:rsidP="0021011A">
      <w:pPr>
        <w:pStyle w:val="ListParagraph"/>
        <w:spacing w:line="360" w:lineRule="auto"/>
        <w:ind w:left="0"/>
        <w:jc w:val="both"/>
        <w:rPr>
          <w:rFonts w:ascii="Bookman Old Style" w:hAnsi="Bookman Old Style"/>
          <w:b/>
        </w:rPr>
      </w:pPr>
    </w:p>
    <w:p w14:paraId="43FBF562" w14:textId="4ABF3A5A" w:rsidR="00E968C6" w:rsidRDefault="0068026A" w:rsidP="0021011A">
      <w:pPr>
        <w:pStyle w:val="ListParagraph"/>
        <w:spacing w:line="360" w:lineRule="auto"/>
        <w:ind w:left="0"/>
        <w:jc w:val="both"/>
        <w:rPr>
          <w:rFonts w:ascii="Bookman Old Style" w:hAnsi="Bookman Old Style"/>
          <w:lang w:val="en-US"/>
        </w:rPr>
      </w:pPr>
      <w:r w:rsidRPr="00A578F8">
        <w:rPr>
          <w:rFonts w:ascii="Bookman Old Style" w:hAnsi="Bookman Old Style"/>
          <w:lang w:val="en-US"/>
        </w:rPr>
        <w:t xml:space="preserve">Historically, debt </w:t>
      </w:r>
      <w:r w:rsidR="00EF0789">
        <w:rPr>
          <w:rFonts w:ascii="Bookman Old Style" w:hAnsi="Bookman Old Style"/>
          <w:lang w:val="en-US"/>
        </w:rPr>
        <w:t>decomposition indicates</w:t>
      </w:r>
      <w:r w:rsidR="004B0C4D">
        <w:rPr>
          <w:rFonts w:ascii="Bookman Old Style" w:hAnsi="Bookman Old Style"/>
          <w:lang w:val="en-US"/>
        </w:rPr>
        <w:t xml:space="preserve"> that debt dynamics </w:t>
      </w:r>
      <w:r w:rsidR="00A578F8" w:rsidRPr="00A578F8">
        <w:rPr>
          <w:rFonts w:ascii="Bookman Old Style" w:hAnsi="Bookman Old Style"/>
          <w:lang w:val="en-US"/>
        </w:rPr>
        <w:t>have</w:t>
      </w:r>
      <w:r w:rsidRPr="00A578F8">
        <w:rPr>
          <w:rFonts w:ascii="Bookman Old Style" w:hAnsi="Bookman Old Style"/>
          <w:lang w:val="en-US"/>
        </w:rPr>
        <w:t xml:space="preserve"> been mainly driven by</w:t>
      </w:r>
      <w:r w:rsidR="004B0C4D">
        <w:rPr>
          <w:rFonts w:ascii="Bookman Old Style" w:hAnsi="Bookman Old Style"/>
          <w:lang w:val="en-US"/>
        </w:rPr>
        <w:t xml:space="preserve"> high primary </w:t>
      </w:r>
      <w:r w:rsidRPr="00A578F8">
        <w:rPr>
          <w:rFonts w:ascii="Bookman Old Style" w:hAnsi="Bookman Old Style"/>
          <w:lang w:val="en-US"/>
        </w:rPr>
        <w:t>deficits</w:t>
      </w:r>
      <w:r w:rsidR="00A578F8" w:rsidRPr="00A578F8">
        <w:rPr>
          <w:rFonts w:ascii="Bookman Old Style" w:hAnsi="Bookman Old Style"/>
          <w:lang w:val="en-US"/>
        </w:rPr>
        <w:t xml:space="preserve">, </w:t>
      </w:r>
      <w:r w:rsidR="004B0C4D">
        <w:rPr>
          <w:rFonts w:ascii="Bookman Old Style" w:hAnsi="Bookman Old Style"/>
          <w:lang w:val="en-US"/>
        </w:rPr>
        <w:t xml:space="preserve">cumulative </w:t>
      </w:r>
      <w:r w:rsidR="00A578F8" w:rsidRPr="00A578F8">
        <w:rPr>
          <w:rFonts w:ascii="Bookman Old Style" w:hAnsi="Bookman Old Style"/>
          <w:lang w:val="en-US"/>
        </w:rPr>
        <w:t>exchange</w:t>
      </w:r>
      <w:r w:rsidRPr="00A578F8">
        <w:rPr>
          <w:rFonts w:ascii="Bookman Old Style" w:hAnsi="Bookman Old Style"/>
          <w:lang w:val="en-US"/>
        </w:rPr>
        <w:t xml:space="preserve"> rate depreciation while GDP growt</w:t>
      </w:r>
      <w:r w:rsidR="00C41E3E">
        <w:rPr>
          <w:rFonts w:ascii="Bookman Old Style" w:hAnsi="Bookman Old Style"/>
          <w:lang w:val="en-US"/>
        </w:rPr>
        <w:t>h and low real interest rate have</w:t>
      </w:r>
      <w:r w:rsidRPr="00A578F8">
        <w:rPr>
          <w:rFonts w:ascii="Bookman Old Style" w:hAnsi="Bookman Old Style"/>
          <w:lang w:val="en-US"/>
        </w:rPr>
        <w:t xml:space="preserve"> dampened debt growth. More recently</w:t>
      </w:r>
      <w:r w:rsidR="00A578F8" w:rsidRPr="00A578F8">
        <w:rPr>
          <w:rFonts w:ascii="Bookman Old Style" w:hAnsi="Bookman Old Style"/>
          <w:lang w:val="en-US"/>
        </w:rPr>
        <w:t xml:space="preserve">, </w:t>
      </w:r>
      <w:r w:rsidR="00BD45A7">
        <w:rPr>
          <w:rFonts w:ascii="Bookman Old Style" w:hAnsi="Bookman Old Style"/>
          <w:lang w:val="en-US"/>
        </w:rPr>
        <w:t>while</w:t>
      </w:r>
      <w:r w:rsidR="004B0C4D">
        <w:rPr>
          <w:rFonts w:ascii="Bookman Old Style" w:hAnsi="Bookman Old Style"/>
          <w:lang w:val="en-US"/>
        </w:rPr>
        <w:t xml:space="preserve"> high</w:t>
      </w:r>
      <w:r w:rsidR="00BD45A7">
        <w:rPr>
          <w:rFonts w:ascii="Bookman Old Style" w:hAnsi="Bookman Old Style"/>
          <w:lang w:val="en-US"/>
        </w:rPr>
        <w:t xml:space="preserve"> </w:t>
      </w:r>
      <w:r w:rsidR="00A578F8" w:rsidRPr="00A578F8">
        <w:rPr>
          <w:rFonts w:ascii="Bookman Old Style" w:hAnsi="Bookman Old Style"/>
          <w:lang w:val="en-US"/>
        </w:rPr>
        <w:t>budget deficits continue to contribute to growth in debt</w:t>
      </w:r>
      <w:r w:rsidR="00BD45A7">
        <w:rPr>
          <w:rFonts w:ascii="Bookman Old Style" w:hAnsi="Bookman Old Style"/>
          <w:lang w:val="en-US"/>
        </w:rPr>
        <w:t>, the effect of exchange rate depreciation has waned, as exchange rate remained relatively stable. Further, high</w:t>
      </w:r>
      <w:r w:rsidR="00311E34">
        <w:rPr>
          <w:rFonts w:ascii="Bookman Old Style" w:hAnsi="Bookman Old Style"/>
          <w:lang w:val="en-US"/>
        </w:rPr>
        <w:t xml:space="preserve"> interest</w:t>
      </w:r>
      <w:r w:rsidR="00BD45A7">
        <w:rPr>
          <w:rFonts w:ascii="Bookman Old Style" w:hAnsi="Bookman Old Style"/>
          <w:lang w:val="en-US"/>
        </w:rPr>
        <w:t xml:space="preserve"> </w:t>
      </w:r>
      <w:r w:rsidR="004B0C4D">
        <w:rPr>
          <w:rFonts w:ascii="Bookman Old Style" w:hAnsi="Bookman Old Style"/>
          <w:lang w:val="en-US"/>
        </w:rPr>
        <w:t>expense</w:t>
      </w:r>
      <w:r w:rsidR="00BD45A7">
        <w:rPr>
          <w:rFonts w:ascii="Bookman Old Style" w:hAnsi="Bookman Old Style"/>
          <w:lang w:val="en-US"/>
        </w:rPr>
        <w:t>, particularly on</w:t>
      </w:r>
      <w:r w:rsidR="00E968C6">
        <w:rPr>
          <w:rFonts w:ascii="Bookman Old Style" w:hAnsi="Bookman Old Style"/>
          <w:lang w:val="en-US"/>
        </w:rPr>
        <w:t xml:space="preserve"> </w:t>
      </w:r>
      <w:r w:rsidR="00BD45A7">
        <w:rPr>
          <w:rFonts w:ascii="Bookman Old Style" w:hAnsi="Bookman Old Style"/>
          <w:lang w:val="en-US"/>
        </w:rPr>
        <w:lastRenderedPageBreak/>
        <w:t>domestic</w:t>
      </w:r>
      <w:r w:rsidR="00A578F8">
        <w:rPr>
          <w:rFonts w:ascii="Bookman Old Style" w:hAnsi="Bookman Old Style"/>
          <w:lang w:val="en-US"/>
        </w:rPr>
        <w:t xml:space="preserve"> debt</w:t>
      </w:r>
      <w:r w:rsidR="00BD45A7">
        <w:rPr>
          <w:rFonts w:ascii="Bookman Old Style" w:hAnsi="Bookman Old Style"/>
          <w:lang w:val="en-US"/>
        </w:rPr>
        <w:t xml:space="preserve"> is increasing debt</w:t>
      </w:r>
      <w:r w:rsidR="00A578F8" w:rsidRPr="00A578F8">
        <w:rPr>
          <w:rFonts w:ascii="Bookman Old Style" w:hAnsi="Bookman Old Style"/>
          <w:lang w:val="en-US"/>
        </w:rPr>
        <w:t xml:space="preserve">. Figure 2 decomposes changes in public debt into its </w:t>
      </w:r>
      <w:r w:rsidR="00A578F8">
        <w:rPr>
          <w:rFonts w:ascii="Bookman Old Style" w:hAnsi="Bookman Old Style"/>
          <w:lang w:val="en-US"/>
        </w:rPr>
        <w:t xml:space="preserve">key </w:t>
      </w:r>
      <w:r w:rsidR="00A578F8" w:rsidRPr="00A578F8">
        <w:rPr>
          <w:rFonts w:ascii="Bookman Old Style" w:hAnsi="Bookman Old Style"/>
          <w:lang w:val="en-US"/>
        </w:rPr>
        <w:t>drivers</w:t>
      </w:r>
      <w:r w:rsidR="00A578F8">
        <w:rPr>
          <w:rStyle w:val="FootnoteReference"/>
          <w:rFonts w:ascii="Bookman Old Style" w:hAnsi="Bookman Old Style"/>
          <w:lang w:val="en-US"/>
        </w:rPr>
        <w:footnoteReference w:id="1"/>
      </w:r>
      <w:r w:rsidR="00A578F8" w:rsidRPr="00A578F8">
        <w:rPr>
          <w:rFonts w:ascii="Bookman Old Style" w:hAnsi="Bookman Old Style"/>
          <w:lang w:val="en-US"/>
        </w:rPr>
        <w:t>.</w:t>
      </w:r>
    </w:p>
    <w:p w14:paraId="252E6790" w14:textId="77777777" w:rsidR="006326CA" w:rsidRPr="00F45CDF" w:rsidRDefault="006326CA" w:rsidP="0021011A">
      <w:pPr>
        <w:pStyle w:val="ListParagraph"/>
        <w:spacing w:line="360" w:lineRule="auto"/>
        <w:ind w:left="0"/>
        <w:jc w:val="both"/>
        <w:rPr>
          <w:rFonts w:ascii="Bookman Old Style" w:hAnsi="Bookman Old Style"/>
          <w:lang w:val="en-US"/>
        </w:rPr>
      </w:pPr>
    </w:p>
    <w:p w14:paraId="49785926" w14:textId="6AA2C6B8" w:rsidR="007D4EF0" w:rsidRPr="007D4EF0" w:rsidRDefault="00F004E4" w:rsidP="007D4EF0">
      <w:pPr>
        <w:pStyle w:val="Caption"/>
        <w:keepNext/>
        <w:jc w:val="both"/>
        <w:rPr>
          <w:rFonts w:ascii="Bookman Old Style" w:hAnsi="Bookman Old Style"/>
          <w:sz w:val="24"/>
          <w:szCs w:val="24"/>
        </w:rPr>
      </w:pPr>
      <w:bookmarkStart w:id="30" w:name="_Toc87373887"/>
      <w:bookmarkStart w:id="31" w:name="_Toc88660948"/>
      <w:r w:rsidRPr="00F004E4">
        <w:rPr>
          <w:rFonts w:ascii="Bookman Old Style" w:hAnsi="Bookman Old Style"/>
          <w:sz w:val="24"/>
          <w:szCs w:val="24"/>
        </w:rPr>
        <w:t xml:space="preserve">Figure </w:t>
      </w:r>
      <w:r w:rsidRPr="00F004E4">
        <w:rPr>
          <w:rFonts w:ascii="Bookman Old Style" w:hAnsi="Bookman Old Style"/>
          <w:sz w:val="24"/>
          <w:szCs w:val="24"/>
        </w:rPr>
        <w:fldChar w:fldCharType="begin"/>
      </w:r>
      <w:r w:rsidRPr="00F004E4">
        <w:rPr>
          <w:rFonts w:ascii="Bookman Old Style" w:hAnsi="Bookman Old Style"/>
          <w:sz w:val="24"/>
          <w:szCs w:val="24"/>
        </w:rPr>
        <w:instrText xml:space="preserve"> SEQ Figure \* ARABIC </w:instrText>
      </w:r>
      <w:r w:rsidRPr="00F004E4">
        <w:rPr>
          <w:rFonts w:ascii="Bookman Old Style" w:hAnsi="Bookman Old Style"/>
          <w:sz w:val="24"/>
          <w:szCs w:val="24"/>
        </w:rPr>
        <w:fldChar w:fldCharType="separate"/>
      </w:r>
      <w:r w:rsidR="00924FE2">
        <w:rPr>
          <w:rFonts w:ascii="Bookman Old Style" w:hAnsi="Bookman Old Style"/>
          <w:noProof/>
          <w:sz w:val="24"/>
          <w:szCs w:val="24"/>
        </w:rPr>
        <w:t>2</w:t>
      </w:r>
      <w:r w:rsidRPr="00F004E4">
        <w:rPr>
          <w:rFonts w:ascii="Bookman Old Style" w:hAnsi="Bookman Old Style"/>
          <w:sz w:val="24"/>
          <w:szCs w:val="24"/>
        </w:rPr>
        <w:fldChar w:fldCharType="end"/>
      </w:r>
      <w:r w:rsidRPr="00F004E4">
        <w:rPr>
          <w:rFonts w:ascii="Bookman Old Style" w:hAnsi="Bookman Old Style"/>
          <w:sz w:val="24"/>
          <w:szCs w:val="24"/>
        </w:rPr>
        <w:t>: Contribution to Change in Debt to GDP, by Source</w:t>
      </w:r>
      <w:bookmarkEnd w:id="30"/>
      <w:bookmarkEnd w:id="31"/>
    </w:p>
    <w:p w14:paraId="2254A783" w14:textId="03FBBC1E" w:rsidR="0053459A" w:rsidRDefault="00A74308" w:rsidP="0021011A">
      <w:pPr>
        <w:pStyle w:val="ListParagraph"/>
        <w:spacing w:line="360" w:lineRule="auto"/>
        <w:ind w:left="0"/>
        <w:jc w:val="both"/>
        <w:rPr>
          <w:rFonts w:ascii="Bookman Old Style" w:hAnsi="Bookman Old Style"/>
          <w:b/>
        </w:rPr>
      </w:pPr>
      <w:r w:rsidRPr="00494485">
        <w:rPr>
          <w:noProof/>
          <w:u w:val="single"/>
          <w:lang w:eastAsia="en-GB"/>
        </w:rPr>
        <w:drawing>
          <wp:inline distT="0" distB="0" distL="0" distR="0" wp14:anchorId="6B6C78C1" wp14:editId="58035CC1">
            <wp:extent cx="5731510" cy="2346960"/>
            <wp:effectExtent l="0" t="0" r="2540" b="0"/>
            <wp:docPr id="6" name="Chart 6">
              <a:extLst xmlns:a="http://schemas.openxmlformats.org/drawingml/2006/main">
                <a:ext uri="{FF2B5EF4-FFF2-40B4-BE49-F238E27FC236}">
                  <a16:creationId xmlns:a16="http://schemas.microsoft.com/office/drawing/2014/main" id="{11E6A745-EEA4-4B88-8144-4DCCA8B2F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28A8CE" w14:textId="763B7787" w:rsidR="00C41E3E" w:rsidRDefault="0042692A" w:rsidP="00D51C22">
      <w:pPr>
        <w:spacing w:line="360" w:lineRule="auto"/>
        <w:rPr>
          <w:rFonts w:ascii="Bookman Old Style" w:hAnsi="Bookman Old Style"/>
        </w:rPr>
      </w:pPr>
      <w:r>
        <w:rPr>
          <w:rFonts w:ascii="Bookman Old Style" w:hAnsi="Bookman Old Style"/>
        </w:rPr>
        <w:t>Source: MoF staff calculations.</w:t>
      </w:r>
    </w:p>
    <w:p w14:paraId="62656A54" w14:textId="77777777" w:rsidR="00D51C22" w:rsidRDefault="00D51C22" w:rsidP="00BD45A7">
      <w:pPr>
        <w:spacing w:line="360" w:lineRule="auto"/>
        <w:rPr>
          <w:rFonts w:ascii="Bookman Old Style" w:hAnsi="Bookman Old Style"/>
        </w:rPr>
      </w:pPr>
    </w:p>
    <w:p w14:paraId="02DA80D5" w14:textId="53914600" w:rsidR="00C41E3E" w:rsidRDefault="00DF1050" w:rsidP="00DF1050">
      <w:pPr>
        <w:pStyle w:val="Heading2"/>
        <w:tabs>
          <w:tab w:val="left" w:pos="6384"/>
        </w:tabs>
      </w:pPr>
      <w:bookmarkStart w:id="32" w:name="_Toc88660840"/>
      <w:r>
        <w:t>1.8 Interest Payments</w:t>
      </w:r>
      <w:r w:rsidR="007C6006">
        <w:t xml:space="preserve"> burden</w:t>
      </w:r>
      <w:bookmarkEnd w:id="32"/>
      <w:r w:rsidR="007C6006">
        <w:t xml:space="preserve"> </w:t>
      </w:r>
      <w:r>
        <w:tab/>
      </w:r>
    </w:p>
    <w:p w14:paraId="0B5BE483" w14:textId="71BD4852" w:rsidR="00DF1050" w:rsidRDefault="00DF1050" w:rsidP="00DF1050"/>
    <w:p w14:paraId="02FCE9BE" w14:textId="7DA61A72" w:rsidR="00006509" w:rsidRDefault="00227123" w:rsidP="00006509">
      <w:pPr>
        <w:pStyle w:val="ListParagraph"/>
        <w:spacing w:line="360" w:lineRule="auto"/>
        <w:ind w:left="0"/>
        <w:jc w:val="both"/>
        <w:rPr>
          <w:rFonts w:ascii="Bookman Old Style" w:hAnsi="Bookman Old Style"/>
          <w:lang w:val="en-US"/>
        </w:rPr>
      </w:pPr>
      <w:r>
        <w:rPr>
          <w:rFonts w:ascii="Bookman Old Style" w:hAnsi="Bookman Old Style"/>
          <w:lang w:val="en-US"/>
        </w:rPr>
        <w:t xml:space="preserve">In absolute terms, </w:t>
      </w:r>
      <w:r w:rsidR="00006509">
        <w:rPr>
          <w:rFonts w:ascii="Bookman Old Style" w:hAnsi="Bookman Old Style"/>
          <w:lang w:val="en-US"/>
        </w:rPr>
        <w:t>i</w:t>
      </w:r>
      <w:r w:rsidR="00DF1050" w:rsidRPr="00DF1050">
        <w:rPr>
          <w:rFonts w:ascii="Bookman Old Style" w:hAnsi="Bookman Old Style"/>
          <w:lang w:val="en-US"/>
        </w:rPr>
        <w:t>nteres</w:t>
      </w:r>
      <w:r w:rsidR="00006509">
        <w:rPr>
          <w:rFonts w:ascii="Bookman Old Style" w:hAnsi="Bookman Old Style"/>
          <w:lang w:val="en-US"/>
        </w:rPr>
        <w:t>t</w:t>
      </w:r>
      <w:r w:rsidR="00DF1050" w:rsidRPr="00DF1050">
        <w:rPr>
          <w:rFonts w:ascii="Bookman Old Style" w:hAnsi="Bookman Old Style"/>
          <w:lang w:val="en-US"/>
        </w:rPr>
        <w:t xml:space="preserve"> to revenue</w:t>
      </w:r>
      <w:r>
        <w:rPr>
          <w:rFonts w:ascii="Bookman Old Style" w:hAnsi="Bookman Old Style"/>
          <w:lang w:val="en-US"/>
        </w:rPr>
        <w:t xml:space="preserve"> ratio has been increasing overtime. </w:t>
      </w:r>
    </w:p>
    <w:p w14:paraId="058C5EAA" w14:textId="79D88896" w:rsidR="00DF1050" w:rsidRPr="00DF1050" w:rsidRDefault="00227123" w:rsidP="00006509">
      <w:pPr>
        <w:pStyle w:val="ListParagraph"/>
        <w:spacing w:line="360" w:lineRule="auto"/>
        <w:ind w:left="0"/>
        <w:jc w:val="both"/>
        <w:rPr>
          <w:rFonts w:ascii="Bookman Old Style" w:hAnsi="Bookman Old Style"/>
          <w:lang w:val="en-US"/>
        </w:rPr>
      </w:pPr>
      <w:r>
        <w:rPr>
          <w:rFonts w:ascii="Bookman Old Style" w:hAnsi="Bookman Old Style"/>
          <w:lang w:val="en-US"/>
        </w:rPr>
        <w:t xml:space="preserve"> </w:t>
      </w:r>
    </w:p>
    <w:p w14:paraId="1651AB48" w14:textId="282E71C8" w:rsidR="00DF1050" w:rsidRPr="00DF1050" w:rsidRDefault="00DF1050" w:rsidP="00DF1050">
      <w:pPr>
        <w:pStyle w:val="Caption"/>
        <w:rPr>
          <w:rFonts w:ascii="Bookman Old Style" w:hAnsi="Bookman Old Style"/>
          <w:sz w:val="24"/>
          <w:szCs w:val="24"/>
        </w:rPr>
      </w:pPr>
      <w:bookmarkStart w:id="33" w:name="_Toc88660949"/>
      <w:r w:rsidRPr="00DF1050">
        <w:rPr>
          <w:rFonts w:ascii="Bookman Old Style" w:hAnsi="Bookman Old Style"/>
          <w:sz w:val="24"/>
          <w:szCs w:val="24"/>
        </w:rPr>
        <w:t xml:space="preserve">Figure </w:t>
      </w:r>
      <w:r w:rsidRPr="00DF1050">
        <w:rPr>
          <w:rFonts w:ascii="Bookman Old Style" w:hAnsi="Bookman Old Style"/>
          <w:sz w:val="24"/>
          <w:szCs w:val="24"/>
        </w:rPr>
        <w:fldChar w:fldCharType="begin"/>
      </w:r>
      <w:r w:rsidRPr="00DF1050">
        <w:rPr>
          <w:rFonts w:ascii="Bookman Old Style" w:hAnsi="Bookman Old Style"/>
          <w:sz w:val="24"/>
          <w:szCs w:val="24"/>
        </w:rPr>
        <w:instrText xml:space="preserve"> SEQ Figure \* ARABIC </w:instrText>
      </w:r>
      <w:r w:rsidRPr="00DF1050">
        <w:rPr>
          <w:rFonts w:ascii="Bookman Old Style" w:hAnsi="Bookman Old Style"/>
          <w:sz w:val="24"/>
          <w:szCs w:val="24"/>
        </w:rPr>
        <w:fldChar w:fldCharType="separate"/>
      </w:r>
      <w:r w:rsidR="00924FE2">
        <w:rPr>
          <w:rFonts w:ascii="Bookman Old Style" w:hAnsi="Bookman Old Style"/>
          <w:noProof/>
          <w:sz w:val="24"/>
          <w:szCs w:val="24"/>
        </w:rPr>
        <w:t>3</w:t>
      </w:r>
      <w:r w:rsidRPr="00DF1050">
        <w:rPr>
          <w:rFonts w:ascii="Bookman Old Style" w:hAnsi="Bookman Old Style"/>
          <w:sz w:val="24"/>
          <w:szCs w:val="24"/>
        </w:rPr>
        <w:fldChar w:fldCharType="end"/>
      </w:r>
      <w:r w:rsidRPr="00DF1050">
        <w:rPr>
          <w:rFonts w:ascii="Bookman Old Style" w:hAnsi="Bookman Old Style"/>
          <w:sz w:val="24"/>
          <w:szCs w:val="24"/>
        </w:rPr>
        <w:t>: Contribution to Change in Interest to Revenue Ratio</w:t>
      </w:r>
      <w:bookmarkEnd w:id="33"/>
    </w:p>
    <w:p w14:paraId="1C304FCE" w14:textId="0663E63D" w:rsidR="00DF1050" w:rsidRPr="00DF1050" w:rsidRDefault="00DF1050" w:rsidP="00E667C6">
      <w:pPr>
        <w:spacing w:after="0"/>
      </w:pPr>
      <w:r w:rsidRPr="00DF1050">
        <w:rPr>
          <w:noProof/>
          <w:u w:val="single"/>
          <w:lang w:eastAsia="en-GB"/>
        </w:rPr>
        <w:drawing>
          <wp:inline distT="0" distB="0" distL="0" distR="0" wp14:anchorId="4184761F" wp14:editId="3B43C00B">
            <wp:extent cx="5761990" cy="2247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6FFB4C" w14:textId="5319D5F3" w:rsidR="00C41E3E" w:rsidRDefault="00006509" w:rsidP="00D51C22">
      <w:pPr>
        <w:spacing w:line="360" w:lineRule="auto"/>
        <w:rPr>
          <w:rFonts w:ascii="Bookman Old Style" w:hAnsi="Bookman Old Style"/>
        </w:rPr>
      </w:pPr>
      <w:r>
        <w:rPr>
          <w:rFonts w:ascii="Bookman Old Style" w:hAnsi="Bookman Old Style"/>
        </w:rPr>
        <w:t>Source: MoF staff calculations.</w:t>
      </w:r>
    </w:p>
    <w:p w14:paraId="720FE7E3" w14:textId="6EF50C64" w:rsidR="00E968C6" w:rsidRDefault="006326CA" w:rsidP="00343666">
      <w:pPr>
        <w:spacing w:before="240" w:line="360" w:lineRule="auto"/>
        <w:rPr>
          <w:rFonts w:ascii="Bookman Old Style" w:hAnsi="Bookman Old Style"/>
        </w:rPr>
      </w:pPr>
      <w:r>
        <w:rPr>
          <w:rFonts w:ascii="Bookman Old Style" w:hAnsi="Bookman Old Style"/>
          <w:lang w:val="en-US"/>
        </w:rPr>
        <w:t xml:space="preserve">In terms of growth, the biggest inter-year growth was observed in FY2013/14 in the wake of the Cashgate scandal through which Government resorted to high-cost domestic borrowing to finance the fiscal gap after major </w:t>
      </w:r>
      <w:r>
        <w:rPr>
          <w:rFonts w:ascii="Bookman Old Style" w:hAnsi="Bookman Old Style"/>
          <w:lang w:val="en-US"/>
        </w:rPr>
        <w:lastRenderedPageBreak/>
        <w:t>Development Partners withheld their budgetary support.</w:t>
      </w:r>
      <w:r w:rsidRPr="00DF1050">
        <w:rPr>
          <w:rFonts w:ascii="Bookman Old Style" w:hAnsi="Bookman Old Style"/>
          <w:lang w:val="en-US"/>
        </w:rPr>
        <w:t xml:space="preserve"> </w:t>
      </w:r>
      <w:r>
        <w:rPr>
          <w:rFonts w:ascii="Bookman Old Style" w:hAnsi="Bookman Old Style"/>
          <w:lang w:val="en-US"/>
        </w:rPr>
        <w:t xml:space="preserve">  The growth in interest briefly went down in FYs 2014/15 and 2015/16. This has since steadily increased beginning FY2018/19 driven by higher domestic interest payments.  </w:t>
      </w:r>
    </w:p>
    <w:p w14:paraId="77E009CA" w14:textId="7461BEEF" w:rsidR="006326CA" w:rsidRDefault="006326CA" w:rsidP="00343666">
      <w:pPr>
        <w:spacing w:before="240" w:line="360" w:lineRule="auto"/>
        <w:rPr>
          <w:rFonts w:ascii="Bookman Old Style" w:hAnsi="Bookman Old Style"/>
        </w:rPr>
      </w:pPr>
    </w:p>
    <w:p w14:paraId="64E6D36E" w14:textId="32C8155F" w:rsidR="006326CA" w:rsidRDefault="006326CA" w:rsidP="00343666">
      <w:pPr>
        <w:spacing w:before="240" w:line="360" w:lineRule="auto"/>
        <w:rPr>
          <w:rFonts w:ascii="Bookman Old Style" w:hAnsi="Bookman Old Style"/>
        </w:rPr>
      </w:pPr>
    </w:p>
    <w:p w14:paraId="40E89AA7" w14:textId="4E36902F" w:rsidR="006326CA" w:rsidRDefault="006326CA" w:rsidP="00343666">
      <w:pPr>
        <w:spacing w:before="240" w:line="360" w:lineRule="auto"/>
        <w:rPr>
          <w:rFonts w:ascii="Bookman Old Style" w:hAnsi="Bookman Old Style"/>
        </w:rPr>
      </w:pPr>
    </w:p>
    <w:p w14:paraId="1E4647CC" w14:textId="5C7FDF4D" w:rsidR="006326CA" w:rsidRDefault="006326CA" w:rsidP="00343666">
      <w:pPr>
        <w:spacing w:before="240" w:line="360" w:lineRule="auto"/>
        <w:rPr>
          <w:rFonts w:ascii="Bookman Old Style" w:hAnsi="Bookman Old Style"/>
        </w:rPr>
      </w:pPr>
    </w:p>
    <w:p w14:paraId="30A6658A" w14:textId="45BC7CFE" w:rsidR="006326CA" w:rsidRDefault="006326CA" w:rsidP="00343666">
      <w:pPr>
        <w:spacing w:before="240" w:line="360" w:lineRule="auto"/>
        <w:rPr>
          <w:rFonts w:ascii="Bookman Old Style" w:hAnsi="Bookman Old Style"/>
        </w:rPr>
      </w:pPr>
    </w:p>
    <w:p w14:paraId="6B1406E5" w14:textId="1258A868" w:rsidR="006326CA" w:rsidRDefault="006326CA" w:rsidP="00343666">
      <w:pPr>
        <w:spacing w:before="240" w:line="360" w:lineRule="auto"/>
        <w:rPr>
          <w:rFonts w:ascii="Bookman Old Style" w:hAnsi="Bookman Old Style"/>
        </w:rPr>
      </w:pPr>
    </w:p>
    <w:p w14:paraId="6E41670F" w14:textId="551F37DA" w:rsidR="006326CA" w:rsidRDefault="006326CA" w:rsidP="00343666">
      <w:pPr>
        <w:spacing w:before="240" w:line="360" w:lineRule="auto"/>
        <w:rPr>
          <w:rFonts w:ascii="Bookman Old Style" w:hAnsi="Bookman Old Style"/>
        </w:rPr>
      </w:pPr>
    </w:p>
    <w:p w14:paraId="29AE81FC" w14:textId="4BCE7D9D" w:rsidR="006326CA" w:rsidRDefault="006326CA" w:rsidP="00343666">
      <w:pPr>
        <w:spacing w:before="240" w:line="360" w:lineRule="auto"/>
        <w:rPr>
          <w:rFonts w:ascii="Bookman Old Style" w:hAnsi="Bookman Old Style"/>
        </w:rPr>
      </w:pPr>
    </w:p>
    <w:p w14:paraId="4BB5D9D5" w14:textId="3E3C7A22" w:rsidR="006326CA" w:rsidRDefault="006326CA" w:rsidP="00343666">
      <w:pPr>
        <w:spacing w:before="240" w:line="360" w:lineRule="auto"/>
        <w:rPr>
          <w:rFonts w:ascii="Bookman Old Style" w:hAnsi="Bookman Old Style"/>
        </w:rPr>
      </w:pPr>
    </w:p>
    <w:p w14:paraId="31264F35" w14:textId="31092505" w:rsidR="006326CA" w:rsidRDefault="006326CA" w:rsidP="00343666">
      <w:pPr>
        <w:spacing w:before="240" w:line="360" w:lineRule="auto"/>
        <w:rPr>
          <w:rFonts w:ascii="Bookman Old Style" w:hAnsi="Bookman Old Style"/>
        </w:rPr>
      </w:pPr>
    </w:p>
    <w:p w14:paraId="46DDFCF2" w14:textId="79EF064F" w:rsidR="006326CA" w:rsidRDefault="006326CA" w:rsidP="00343666">
      <w:pPr>
        <w:spacing w:before="240" w:line="360" w:lineRule="auto"/>
        <w:rPr>
          <w:rFonts w:ascii="Bookman Old Style" w:hAnsi="Bookman Old Style"/>
        </w:rPr>
      </w:pPr>
    </w:p>
    <w:p w14:paraId="61D1ED8F" w14:textId="7E105976" w:rsidR="006326CA" w:rsidRDefault="006326CA" w:rsidP="00343666">
      <w:pPr>
        <w:spacing w:before="240" w:line="360" w:lineRule="auto"/>
        <w:rPr>
          <w:rFonts w:ascii="Bookman Old Style" w:hAnsi="Bookman Old Style"/>
        </w:rPr>
      </w:pPr>
    </w:p>
    <w:p w14:paraId="544501F8" w14:textId="2B773B8C" w:rsidR="006326CA" w:rsidRDefault="006326CA" w:rsidP="00343666">
      <w:pPr>
        <w:spacing w:before="240" w:line="360" w:lineRule="auto"/>
        <w:rPr>
          <w:rFonts w:ascii="Bookman Old Style" w:hAnsi="Bookman Old Style"/>
        </w:rPr>
      </w:pPr>
    </w:p>
    <w:p w14:paraId="18342A4D" w14:textId="13721CA5" w:rsidR="006326CA" w:rsidRDefault="006326CA" w:rsidP="00343666">
      <w:pPr>
        <w:spacing w:before="240" w:line="360" w:lineRule="auto"/>
        <w:rPr>
          <w:rFonts w:ascii="Bookman Old Style" w:hAnsi="Bookman Old Style"/>
        </w:rPr>
      </w:pPr>
    </w:p>
    <w:p w14:paraId="1BC19200" w14:textId="56FE7648" w:rsidR="006326CA" w:rsidRDefault="006326CA" w:rsidP="00343666">
      <w:pPr>
        <w:spacing w:before="240" w:line="360" w:lineRule="auto"/>
        <w:rPr>
          <w:rFonts w:ascii="Bookman Old Style" w:hAnsi="Bookman Old Style"/>
        </w:rPr>
      </w:pPr>
    </w:p>
    <w:p w14:paraId="7B0C9938" w14:textId="525E3810" w:rsidR="006326CA" w:rsidRDefault="006326CA" w:rsidP="00343666">
      <w:pPr>
        <w:spacing w:before="240" w:line="360" w:lineRule="auto"/>
        <w:rPr>
          <w:rFonts w:ascii="Bookman Old Style" w:hAnsi="Bookman Old Style"/>
        </w:rPr>
      </w:pPr>
    </w:p>
    <w:p w14:paraId="0399A811" w14:textId="77777777" w:rsidR="006326CA" w:rsidRDefault="006326CA" w:rsidP="00343666">
      <w:pPr>
        <w:spacing w:before="240" w:line="360" w:lineRule="auto"/>
        <w:rPr>
          <w:rFonts w:ascii="Bookman Old Style" w:hAnsi="Bookman Old Style"/>
        </w:rPr>
      </w:pPr>
    </w:p>
    <w:p w14:paraId="01E19DF1" w14:textId="77777777" w:rsidR="006326CA" w:rsidRPr="00BD45A7" w:rsidRDefault="006326CA" w:rsidP="00343666">
      <w:pPr>
        <w:spacing w:before="240" w:line="360" w:lineRule="auto"/>
        <w:rPr>
          <w:rFonts w:ascii="Bookman Old Style" w:hAnsi="Bookman Old Style"/>
        </w:rPr>
      </w:pPr>
    </w:p>
    <w:p w14:paraId="024DC396" w14:textId="3BFCF566" w:rsidR="0021011A" w:rsidRDefault="0021011A" w:rsidP="0021011A">
      <w:pPr>
        <w:pStyle w:val="Heading1"/>
      </w:pPr>
      <w:bookmarkStart w:id="34" w:name="_Toc88660841"/>
      <w:r w:rsidRPr="000B2B72">
        <w:lastRenderedPageBreak/>
        <w:t>SECTION II:  TOTAL PUBLIC DEBT PORTFOLIO AS AT 30 JUNE 202</w:t>
      </w:r>
      <w:r w:rsidR="004D7A01">
        <w:t>1</w:t>
      </w:r>
      <w:bookmarkEnd w:id="34"/>
    </w:p>
    <w:p w14:paraId="01418486" w14:textId="3685CCA7" w:rsidR="00F4148E" w:rsidRPr="00BD45A7" w:rsidRDefault="00F4148E" w:rsidP="00BD45A7"/>
    <w:p w14:paraId="7C550A5C" w14:textId="5E1702A9" w:rsidR="0021011A" w:rsidRDefault="0021011A" w:rsidP="0021011A">
      <w:pPr>
        <w:pStyle w:val="Heading2"/>
        <w:rPr>
          <w:lang w:val="en-US"/>
        </w:rPr>
      </w:pPr>
      <w:bookmarkStart w:id="35" w:name="_Toc88660842"/>
      <w:r w:rsidRPr="00D538C9">
        <w:rPr>
          <w:lang w:val="en-US"/>
        </w:rPr>
        <w:t xml:space="preserve">2.1 </w:t>
      </w:r>
      <w:r w:rsidRPr="00B70677">
        <w:t>Composition</w:t>
      </w:r>
      <w:r w:rsidRPr="00D538C9">
        <w:rPr>
          <w:lang w:val="en-US"/>
        </w:rPr>
        <w:t xml:space="preserve"> </w:t>
      </w:r>
      <w:r w:rsidRPr="00B70677">
        <w:t>of</w:t>
      </w:r>
      <w:r w:rsidRPr="00D538C9">
        <w:rPr>
          <w:lang w:val="en-US"/>
        </w:rPr>
        <w:t xml:space="preserve"> Total Public Debt</w:t>
      </w:r>
      <w:bookmarkEnd w:id="35"/>
    </w:p>
    <w:p w14:paraId="29780C21" w14:textId="77777777" w:rsidR="003D71B6" w:rsidRPr="003D71B6" w:rsidRDefault="003D71B6" w:rsidP="003D71B6">
      <w:pPr>
        <w:rPr>
          <w:lang w:val="en-US"/>
        </w:rPr>
      </w:pPr>
    </w:p>
    <w:p w14:paraId="1CF69723" w14:textId="538F6F34" w:rsidR="00294F94" w:rsidRDefault="0021011A" w:rsidP="0021011A">
      <w:pPr>
        <w:spacing w:line="360" w:lineRule="auto"/>
        <w:rPr>
          <w:rFonts w:ascii="Bookman Old Style" w:hAnsi="Bookman Old Style"/>
          <w:lang w:val="en-US"/>
        </w:rPr>
      </w:pPr>
      <w:r w:rsidRPr="007314EA">
        <w:rPr>
          <w:rFonts w:ascii="Bookman Old Style" w:hAnsi="Bookman Old Style"/>
          <w:lang w:val="en-US"/>
        </w:rPr>
        <w:t xml:space="preserve">Total Public </w:t>
      </w:r>
      <w:r w:rsidR="0050706E">
        <w:rPr>
          <w:rFonts w:ascii="Bookman Old Style" w:hAnsi="Bookman Old Style"/>
          <w:lang w:val="en-US"/>
        </w:rPr>
        <w:t xml:space="preserve">Debt (TPD) </w:t>
      </w:r>
      <w:r w:rsidR="00C54085">
        <w:rPr>
          <w:rFonts w:ascii="Bookman Old Style" w:hAnsi="Bookman Old Style"/>
          <w:lang w:val="en-US"/>
        </w:rPr>
        <w:t>stock as</w:t>
      </w:r>
      <w:r w:rsidR="00C54085" w:rsidRPr="007314EA">
        <w:rPr>
          <w:rFonts w:ascii="Bookman Old Style" w:hAnsi="Bookman Old Style"/>
          <w:lang w:val="en-US"/>
        </w:rPr>
        <w:t xml:space="preserve"> at end-June </w:t>
      </w:r>
      <w:r w:rsidR="00C54085">
        <w:rPr>
          <w:rFonts w:ascii="Bookman Old Style" w:hAnsi="Bookman Old Style"/>
          <w:lang w:val="en-US"/>
        </w:rPr>
        <w:t>2021</w:t>
      </w:r>
      <w:r w:rsidR="00C54085" w:rsidRPr="007314EA">
        <w:rPr>
          <w:rFonts w:ascii="Bookman Old Style" w:hAnsi="Bookman Old Style"/>
          <w:lang w:val="en-US"/>
        </w:rPr>
        <w:t>,</w:t>
      </w:r>
      <w:r w:rsidR="00C54085">
        <w:rPr>
          <w:rFonts w:ascii="Bookman Old Style" w:hAnsi="Bookman Old Style"/>
          <w:lang w:val="en-US"/>
        </w:rPr>
        <w:t xml:space="preserve"> stood as </w:t>
      </w:r>
      <w:r w:rsidR="00C54085" w:rsidRPr="007314EA">
        <w:rPr>
          <w:rFonts w:ascii="Bookman Old Style" w:hAnsi="Bookman Old Style"/>
          <w:lang w:val="en-US"/>
        </w:rPr>
        <w:t>MK5.5</w:t>
      </w:r>
      <w:r w:rsidR="0050706E">
        <w:rPr>
          <w:rFonts w:ascii="Bookman Old Style" w:hAnsi="Bookman Old Style"/>
          <w:lang w:val="en-US"/>
        </w:rPr>
        <w:t xml:space="preserve"> </w:t>
      </w:r>
      <w:r w:rsidR="0036623E">
        <w:rPr>
          <w:rFonts w:ascii="Bookman Old Style" w:hAnsi="Bookman Old Style"/>
          <w:lang w:val="en-US"/>
        </w:rPr>
        <w:t>trillion, equivalent to</w:t>
      </w:r>
      <w:r w:rsidR="00C115FB">
        <w:rPr>
          <w:rFonts w:ascii="Bookman Old Style" w:hAnsi="Bookman Old Style"/>
          <w:lang w:val="en-US"/>
        </w:rPr>
        <w:t xml:space="preserve"> 59</w:t>
      </w:r>
      <w:r w:rsidRPr="007314EA">
        <w:rPr>
          <w:rFonts w:ascii="Bookman Old Style" w:hAnsi="Bookman Old Style"/>
          <w:lang w:val="en-US"/>
        </w:rPr>
        <w:t xml:space="preserve"> percent </w:t>
      </w:r>
      <w:r w:rsidR="00C54085" w:rsidRPr="007314EA">
        <w:rPr>
          <w:rFonts w:ascii="Bookman Old Style" w:hAnsi="Bookman Old Style"/>
          <w:lang w:val="en-US"/>
        </w:rPr>
        <w:t xml:space="preserve">of </w:t>
      </w:r>
      <w:r w:rsidR="003D71B6">
        <w:rPr>
          <w:rFonts w:ascii="Bookman Old Style" w:hAnsi="Bookman Old Style"/>
          <w:lang w:val="en-US"/>
        </w:rPr>
        <w:t>FY2020/</w:t>
      </w:r>
      <w:r w:rsidR="00C54085">
        <w:rPr>
          <w:rFonts w:ascii="Bookman Old Style" w:hAnsi="Bookman Old Style"/>
          <w:lang w:val="en-US"/>
        </w:rPr>
        <w:t xml:space="preserve">21 </w:t>
      </w:r>
      <w:r w:rsidR="003C2C4F">
        <w:rPr>
          <w:rFonts w:ascii="Bookman Old Style" w:hAnsi="Bookman Old Style"/>
        </w:rPr>
        <w:t>GDP</w:t>
      </w:r>
      <w:r w:rsidRPr="007314EA">
        <w:rPr>
          <w:rFonts w:ascii="Bookman Old Style" w:hAnsi="Bookman Old Style"/>
          <w:lang w:val="en-US"/>
        </w:rPr>
        <w:t>, up</w:t>
      </w:r>
      <w:r w:rsidR="003C2C4F">
        <w:rPr>
          <w:rFonts w:ascii="Bookman Old Style" w:hAnsi="Bookman Old Style"/>
          <w:lang w:val="en-US"/>
        </w:rPr>
        <w:t xml:space="preserve"> by 32 percent</w:t>
      </w:r>
      <w:r w:rsidRPr="007314EA">
        <w:rPr>
          <w:rFonts w:ascii="Bookman Old Style" w:hAnsi="Bookman Old Style"/>
          <w:lang w:val="en-US"/>
        </w:rPr>
        <w:t xml:space="preserve"> from </w:t>
      </w:r>
      <w:r w:rsidR="00EE38C0">
        <w:rPr>
          <w:rFonts w:ascii="Bookman Old Style" w:hAnsi="Bookman Old Style"/>
          <w:lang w:val="en-US"/>
        </w:rPr>
        <w:t>MK</w:t>
      </w:r>
      <w:r w:rsidR="0050706E">
        <w:rPr>
          <w:rFonts w:ascii="Bookman Old Style" w:hAnsi="Bookman Old Style"/>
          <w:lang w:val="en-US"/>
        </w:rPr>
        <w:t xml:space="preserve">4.1 </w:t>
      </w:r>
      <w:r w:rsidR="00C115FB">
        <w:rPr>
          <w:rFonts w:ascii="Bookman Old Style" w:hAnsi="Bookman Old Style"/>
          <w:lang w:val="en-US"/>
        </w:rPr>
        <w:t>trillion or 48</w:t>
      </w:r>
      <w:r w:rsidRPr="007314EA">
        <w:rPr>
          <w:rFonts w:ascii="Bookman Old Style" w:hAnsi="Bookman Old Style"/>
          <w:lang w:val="en-US"/>
        </w:rPr>
        <w:t xml:space="preserve"> percent of GDP, in June </w:t>
      </w:r>
      <w:r w:rsidR="0050706E">
        <w:rPr>
          <w:rFonts w:ascii="Bookman Old Style" w:hAnsi="Bookman Old Style"/>
          <w:lang w:val="en-US"/>
        </w:rPr>
        <w:t>2020</w:t>
      </w:r>
      <w:r w:rsidRPr="007314EA">
        <w:rPr>
          <w:rFonts w:ascii="Bookman Old Style" w:hAnsi="Bookman Old Style"/>
          <w:lang w:val="en-US"/>
        </w:rPr>
        <w:t xml:space="preserve">. </w:t>
      </w:r>
      <w:r w:rsidR="003C2C4F">
        <w:rPr>
          <w:rFonts w:ascii="Bookman Old Style" w:hAnsi="Bookman Old Style"/>
          <w:lang w:val="en-US"/>
        </w:rPr>
        <w:t xml:space="preserve"> The jump was reported in </w:t>
      </w:r>
      <w:r w:rsidR="003C2C4F" w:rsidRPr="007314EA">
        <w:rPr>
          <w:rFonts w:ascii="Bookman Old Style" w:hAnsi="Bookman Old Style"/>
          <w:lang w:val="en-US"/>
        </w:rPr>
        <w:t>both</w:t>
      </w:r>
      <w:r w:rsidR="003C2C4F">
        <w:rPr>
          <w:rFonts w:ascii="Bookman Old Style" w:hAnsi="Bookman Old Style"/>
          <w:lang w:val="en-US"/>
        </w:rPr>
        <w:t xml:space="preserve"> </w:t>
      </w:r>
      <w:r w:rsidR="006C2ADC">
        <w:rPr>
          <w:rFonts w:ascii="Bookman Old Style" w:hAnsi="Bookman Old Style"/>
          <w:lang w:val="en-US"/>
        </w:rPr>
        <w:t>domestic debt and foreign debt.</w:t>
      </w:r>
      <w:r w:rsidR="00166B05" w:rsidRPr="00166B05">
        <w:rPr>
          <w:rFonts w:ascii="Bookman Old Style" w:hAnsi="Bookman Old Style"/>
          <w:lang w:val="en-US"/>
        </w:rPr>
        <w:t xml:space="preserve"> </w:t>
      </w:r>
      <w:r w:rsidR="003C2C4F">
        <w:rPr>
          <w:rFonts w:ascii="Bookman Old Style" w:hAnsi="Bookman Old Style"/>
          <w:lang w:val="en-US"/>
        </w:rPr>
        <w:t>D</w:t>
      </w:r>
      <w:r w:rsidR="00EC4443">
        <w:rPr>
          <w:rFonts w:ascii="Bookman Old Style" w:hAnsi="Bookman Old Style"/>
          <w:lang w:val="en-US"/>
        </w:rPr>
        <w:t>omest</w:t>
      </w:r>
      <w:r w:rsidR="003C2C4F">
        <w:rPr>
          <w:rFonts w:ascii="Bookman Old Style" w:hAnsi="Bookman Old Style"/>
          <w:lang w:val="en-US"/>
        </w:rPr>
        <w:t xml:space="preserve">ic debt </w:t>
      </w:r>
      <w:r w:rsidR="00EE38C0">
        <w:rPr>
          <w:rFonts w:ascii="Bookman Old Style" w:hAnsi="Bookman Old Style"/>
          <w:lang w:val="en-US"/>
        </w:rPr>
        <w:t>increased from MK</w:t>
      </w:r>
      <w:r w:rsidR="00EC4443">
        <w:rPr>
          <w:rFonts w:ascii="Bookman Old Style" w:hAnsi="Bookman Old Style"/>
          <w:lang w:val="en-US"/>
        </w:rPr>
        <w:t xml:space="preserve">1.8 trillion in June 2020 to MK2.6 trillion in June 2021 on account of new issuances to fund the FY2020/21 budget deficit </w:t>
      </w:r>
      <w:r w:rsidR="00EE38C0">
        <w:rPr>
          <w:rFonts w:ascii="Bookman Old Style" w:hAnsi="Bookman Old Style"/>
          <w:lang w:val="en-US"/>
        </w:rPr>
        <w:t xml:space="preserve">and </w:t>
      </w:r>
      <w:r w:rsidR="00A578F8">
        <w:rPr>
          <w:rFonts w:ascii="Bookman Old Style" w:hAnsi="Bookman Old Style"/>
          <w:lang w:val="en-US"/>
        </w:rPr>
        <w:t>refinance maturing debt.</w:t>
      </w:r>
      <w:r w:rsidR="00226F86" w:rsidRPr="00226F86">
        <w:rPr>
          <w:rFonts w:ascii="Bookman Old Style" w:hAnsi="Bookman Old Style"/>
          <w:lang w:val="en-US"/>
        </w:rPr>
        <w:t xml:space="preserve"> External debt increased by USD430 million to USD3.6 billion over the same period</w:t>
      </w:r>
      <w:r w:rsidR="003C2C4F">
        <w:rPr>
          <w:rFonts w:ascii="Bookman Old Style" w:hAnsi="Bookman Old Style"/>
          <w:lang w:val="en-US"/>
        </w:rPr>
        <w:t xml:space="preserve"> </w:t>
      </w:r>
      <w:r w:rsidR="00226F86" w:rsidRPr="00226F86">
        <w:rPr>
          <w:rFonts w:ascii="Bookman Old Style" w:hAnsi="Bookman Old Style"/>
          <w:lang w:val="en-US"/>
        </w:rPr>
        <w:t>due to drawdowns from existing loans and new loans.</w:t>
      </w:r>
    </w:p>
    <w:p w14:paraId="5BD91ADF" w14:textId="77777777" w:rsidR="003C2C4F" w:rsidRDefault="003C2C4F" w:rsidP="0021011A">
      <w:pPr>
        <w:spacing w:line="360" w:lineRule="auto"/>
        <w:rPr>
          <w:rFonts w:ascii="Bookman Old Style" w:hAnsi="Bookman Old Style"/>
          <w:lang w:val="en-US"/>
        </w:rPr>
      </w:pPr>
    </w:p>
    <w:p w14:paraId="463AFC99" w14:textId="42AC0AC6" w:rsidR="007D4EF0" w:rsidRPr="007D4EF0" w:rsidRDefault="00B80999" w:rsidP="007D4EF0">
      <w:pPr>
        <w:pStyle w:val="Caption"/>
        <w:keepNext/>
        <w:jc w:val="both"/>
        <w:rPr>
          <w:rFonts w:ascii="Bookman Old Style" w:hAnsi="Bookman Old Style"/>
          <w:sz w:val="24"/>
          <w:szCs w:val="24"/>
        </w:rPr>
      </w:pPr>
      <w:bookmarkStart w:id="36" w:name="_Toc88660887"/>
      <w:r w:rsidRPr="00B80999">
        <w:rPr>
          <w:rFonts w:ascii="Bookman Old Style" w:hAnsi="Bookman Old Style"/>
          <w:sz w:val="24"/>
          <w:szCs w:val="24"/>
        </w:rPr>
        <w:t xml:space="preserve">Table </w:t>
      </w:r>
      <w:r w:rsidRPr="00B80999">
        <w:rPr>
          <w:rFonts w:ascii="Bookman Old Style" w:hAnsi="Bookman Old Style"/>
          <w:sz w:val="24"/>
          <w:szCs w:val="24"/>
        </w:rPr>
        <w:fldChar w:fldCharType="begin"/>
      </w:r>
      <w:r w:rsidRPr="00B80999">
        <w:rPr>
          <w:rFonts w:ascii="Bookman Old Style" w:hAnsi="Bookman Old Style"/>
          <w:sz w:val="24"/>
          <w:szCs w:val="24"/>
        </w:rPr>
        <w:instrText xml:space="preserve"> SEQ Table \* ARABIC </w:instrText>
      </w:r>
      <w:r w:rsidRPr="00B80999">
        <w:rPr>
          <w:rFonts w:ascii="Bookman Old Style" w:hAnsi="Bookman Old Style"/>
          <w:sz w:val="24"/>
          <w:szCs w:val="24"/>
        </w:rPr>
        <w:fldChar w:fldCharType="separate"/>
      </w:r>
      <w:r w:rsidR="00924FE2">
        <w:rPr>
          <w:rFonts w:ascii="Bookman Old Style" w:hAnsi="Bookman Old Style"/>
          <w:noProof/>
          <w:sz w:val="24"/>
          <w:szCs w:val="24"/>
        </w:rPr>
        <w:t>1</w:t>
      </w:r>
      <w:r w:rsidRPr="00B80999">
        <w:rPr>
          <w:rFonts w:ascii="Bookman Old Style" w:hAnsi="Bookman Old Style"/>
          <w:sz w:val="24"/>
          <w:szCs w:val="24"/>
        </w:rPr>
        <w:fldChar w:fldCharType="end"/>
      </w:r>
      <w:r w:rsidRPr="00B80999">
        <w:rPr>
          <w:rFonts w:ascii="Bookman Old Style" w:hAnsi="Bookman Old Style"/>
          <w:sz w:val="24"/>
          <w:szCs w:val="24"/>
        </w:rPr>
        <w:t>: Evolution of Public Debt (in Millions)</w:t>
      </w:r>
      <w:r>
        <w:rPr>
          <w:rStyle w:val="FootnoteReference"/>
          <w:rFonts w:ascii="Bookman Old Style" w:hAnsi="Bookman Old Style"/>
          <w:sz w:val="24"/>
          <w:szCs w:val="24"/>
        </w:rPr>
        <w:footnoteReference w:id="2"/>
      </w:r>
      <w:bookmarkEnd w:id="36"/>
    </w:p>
    <w:tbl>
      <w:tblPr>
        <w:tblW w:w="9047" w:type="dxa"/>
        <w:tblInd w:w="-10" w:type="dxa"/>
        <w:tblLook w:val="04A0" w:firstRow="1" w:lastRow="0" w:firstColumn="1" w:lastColumn="0" w:noHBand="0" w:noVBand="1"/>
      </w:tblPr>
      <w:tblGrid>
        <w:gridCol w:w="1626"/>
        <w:gridCol w:w="1105"/>
        <w:gridCol w:w="1105"/>
        <w:gridCol w:w="1312"/>
        <w:gridCol w:w="1312"/>
        <w:gridCol w:w="1312"/>
        <w:gridCol w:w="1399"/>
      </w:tblGrid>
      <w:tr w:rsidR="00AC55E5" w:rsidRPr="00C115FB" w14:paraId="2AD78DD1" w14:textId="77777777" w:rsidTr="00936BFD">
        <w:trPr>
          <w:trHeight w:val="617"/>
        </w:trPr>
        <w:tc>
          <w:tcPr>
            <w:tcW w:w="1626" w:type="dxa"/>
            <w:tcBorders>
              <w:top w:val="single" w:sz="18" w:space="0" w:color="auto"/>
              <w:left w:val="single" w:sz="18" w:space="0" w:color="auto"/>
              <w:bottom w:val="single" w:sz="18" w:space="0" w:color="auto"/>
            </w:tcBorders>
            <w:shd w:val="clear" w:color="auto" w:fill="B3D5AB" w:themeFill="accent4" w:themeFillTint="66"/>
            <w:vAlign w:val="center"/>
            <w:hideMark/>
          </w:tcPr>
          <w:p w14:paraId="31FC86DC" w14:textId="77777777" w:rsidR="00AC55E5" w:rsidRPr="00C115FB" w:rsidRDefault="00AC55E5" w:rsidP="00C115FB">
            <w:pPr>
              <w:spacing w:after="0"/>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 </w:t>
            </w:r>
          </w:p>
        </w:tc>
        <w:tc>
          <w:tcPr>
            <w:tcW w:w="1091" w:type="dxa"/>
            <w:tcBorders>
              <w:top w:val="single" w:sz="18" w:space="0" w:color="auto"/>
              <w:bottom w:val="single" w:sz="18" w:space="0" w:color="auto"/>
            </w:tcBorders>
            <w:shd w:val="clear" w:color="auto" w:fill="B3D5AB" w:themeFill="accent4" w:themeFillTint="66"/>
            <w:vAlign w:val="center"/>
            <w:hideMark/>
          </w:tcPr>
          <w:p w14:paraId="3FCE78CB" w14:textId="77777777" w:rsidR="00AC55E5" w:rsidRPr="00C115FB" w:rsidRDefault="00AC55E5" w:rsidP="00C115FB">
            <w:pPr>
              <w:spacing w:after="0"/>
              <w:jc w:val="right"/>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2005</w:t>
            </w:r>
          </w:p>
        </w:tc>
        <w:tc>
          <w:tcPr>
            <w:tcW w:w="1091" w:type="dxa"/>
            <w:tcBorders>
              <w:top w:val="single" w:sz="18" w:space="0" w:color="auto"/>
            </w:tcBorders>
            <w:shd w:val="clear" w:color="auto" w:fill="B3D5AB" w:themeFill="accent4" w:themeFillTint="66"/>
            <w:vAlign w:val="center"/>
            <w:hideMark/>
          </w:tcPr>
          <w:p w14:paraId="6876E6CF" w14:textId="77777777" w:rsidR="00AC55E5" w:rsidRPr="00AC55E5" w:rsidRDefault="00AC55E5" w:rsidP="00AC55E5">
            <w:pPr>
              <w:spacing w:after="0"/>
              <w:jc w:val="right"/>
              <w:rPr>
                <w:rFonts w:ascii="Bookman Old Style" w:hAnsi="Bookman Old Style" w:cs="Calibri"/>
                <w:b/>
                <w:bCs/>
                <w:color w:val="000000"/>
                <w:sz w:val="22"/>
                <w:szCs w:val="22"/>
                <w:lang w:val="en-US" w:eastAsia="en-GB"/>
              </w:rPr>
            </w:pPr>
            <w:r w:rsidRPr="00C115FB">
              <w:rPr>
                <w:rFonts w:ascii="Bookman Old Style" w:hAnsi="Bookman Old Style" w:cs="Calibri"/>
                <w:b/>
                <w:bCs/>
                <w:color w:val="000000"/>
                <w:sz w:val="22"/>
                <w:szCs w:val="22"/>
                <w:lang w:val="en-US" w:eastAsia="en-GB"/>
              </w:rPr>
              <w:t>2006</w:t>
            </w:r>
          </w:p>
          <w:p w14:paraId="6EFCD989" w14:textId="34818B76" w:rsidR="00AC55E5" w:rsidRPr="00AC55E5" w:rsidRDefault="00AC55E5" w:rsidP="00AC55E5">
            <w:pPr>
              <w:spacing w:after="0"/>
              <w:jc w:val="right"/>
              <w:rPr>
                <w:rFonts w:ascii="Bookman Old Style" w:hAnsi="Bookman Old Style" w:cs="Calibri"/>
                <w:b/>
                <w:bCs/>
                <w:color w:val="000000"/>
                <w:sz w:val="22"/>
                <w:szCs w:val="22"/>
                <w:lang w:val="en-US" w:eastAsia="en-GB"/>
              </w:rPr>
            </w:pPr>
            <w:r w:rsidRPr="00C115FB">
              <w:rPr>
                <w:rFonts w:ascii="Bookman Old Style" w:hAnsi="Bookman Old Style" w:cs="Calibri"/>
                <w:b/>
                <w:bCs/>
                <w:color w:val="000000"/>
                <w:sz w:val="22"/>
                <w:szCs w:val="22"/>
                <w:lang w:val="en-US" w:eastAsia="en-GB"/>
              </w:rPr>
              <w:t>(HIPC)</w:t>
            </w:r>
          </w:p>
        </w:tc>
        <w:tc>
          <w:tcPr>
            <w:tcW w:w="1295" w:type="dxa"/>
            <w:tcBorders>
              <w:top w:val="single" w:sz="18" w:space="0" w:color="auto"/>
              <w:bottom w:val="single" w:sz="18" w:space="0" w:color="auto"/>
            </w:tcBorders>
            <w:shd w:val="clear" w:color="auto" w:fill="B3D5AB" w:themeFill="accent4" w:themeFillTint="66"/>
            <w:vAlign w:val="center"/>
            <w:hideMark/>
          </w:tcPr>
          <w:p w14:paraId="75325C25" w14:textId="77777777" w:rsidR="00AC55E5" w:rsidRPr="00C115FB" w:rsidRDefault="00AC55E5" w:rsidP="00C115FB">
            <w:pPr>
              <w:spacing w:after="0"/>
              <w:jc w:val="right"/>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2017/18</w:t>
            </w:r>
          </w:p>
        </w:tc>
        <w:tc>
          <w:tcPr>
            <w:tcW w:w="1295" w:type="dxa"/>
            <w:tcBorders>
              <w:top w:val="single" w:sz="18" w:space="0" w:color="auto"/>
              <w:bottom w:val="single" w:sz="18" w:space="0" w:color="auto"/>
            </w:tcBorders>
            <w:shd w:val="clear" w:color="auto" w:fill="B3D5AB" w:themeFill="accent4" w:themeFillTint="66"/>
            <w:vAlign w:val="center"/>
            <w:hideMark/>
          </w:tcPr>
          <w:p w14:paraId="2805EF8E" w14:textId="77777777" w:rsidR="00AC55E5" w:rsidRPr="00C115FB" w:rsidRDefault="00AC55E5" w:rsidP="00C115FB">
            <w:pPr>
              <w:spacing w:after="0"/>
              <w:jc w:val="right"/>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2018/19</w:t>
            </w:r>
          </w:p>
        </w:tc>
        <w:tc>
          <w:tcPr>
            <w:tcW w:w="1298" w:type="dxa"/>
            <w:tcBorders>
              <w:top w:val="single" w:sz="18" w:space="0" w:color="auto"/>
              <w:bottom w:val="single" w:sz="18" w:space="0" w:color="auto"/>
            </w:tcBorders>
            <w:shd w:val="clear" w:color="auto" w:fill="B3D5AB" w:themeFill="accent4" w:themeFillTint="66"/>
            <w:vAlign w:val="center"/>
            <w:hideMark/>
          </w:tcPr>
          <w:p w14:paraId="06C3D4A9" w14:textId="77777777" w:rsidR="00AC55E5" w:rsidRPr="00C115FB" w:rsidRDefault="00AC55E5" w:rsidP="00C115FB">
            <w:pPr>
              <w:spacing w:after="0"/>
              <w:jc w:val="right"/>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2019/20</w:t>
            </w:r>
          </w:p>
        </w:tc>
        <w:tc>
          <w:tcPr>
            <w:tcW w:w="1348" w:type="dxa"/>
            <w:tcBorders>
              <w:top w:val="single" w:sz="18" w:space="0" w:color="auto"/>
              <w:bottom w:val="single" w:sz="18" w:space="0" w:color="auto"/>
              <w:right w:val="single" w:sz="18" w:space="0" w:color="auto"/>
            </w:tcBorders>
            <w:shd w:val="clear" w:color="auto" w:fill="B3D5AB" w:themeFill="accent4" w:themeFillTint="66"/>
            <w:vAlign w:val="center"/>
            <w:hideMark/>
          </w:tcPr>
          <w:p w14:paraId="21C2021B" w14:textId="77777777" w:rsidR="00AC55E5" w:rsidRPr="00C115FB" w:rsidRDefault="00AC55E5" w:rsidP="00C115FB">
            <w:pPr>
              <w:spacing w:after="0"/>
              <w:jc w:val="right"/>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eastAsia="en-GB"/>
              </w:rPr>
              <w:t>2020/21</w:t>
            </w:r>
          </w:p>
        </w:tc>
      </w:tr>
      <w:tr w:rsidR="00C115FB" w:rsidRPr="00C115FB" w14:paraId="1D7088D4" w14:textId="77777777" w:rsidTr="00936BFD">
        <w:trPr>
          <w:trHeight w:val="550"/>
        </w:trPr>
        <w:tc>
          <w:tcPr>
            <w:tcW w:w="1626" w:type="dxa"/>
            <w:tcBorders>
              <w:top w:val="single" w:sz="18" w:space="0" w:color="auto"/>
              <w:left w:val="single" w:sz="18" w:space="0" w:color="auto"/>
            </w:tcBorders>
            <w:shd w:val="clear" w:color="auto" w:fill="auto"/>
            <w:vAlign w:val="center"/>
            <w:hideMark/>
          </w:tcPr>
          <w:p w14:paraId="6FE91CC3" w14:textId="77777777" w:rsidR="00C115FB" w:rsidRPr="00C115FB" w:rsidRDefault="00C115FB" w:rsidP="00C115FB">
            <w:pPr>
              <w:spacing w:after="0"/>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Total Public Debt (MK)</w:t>
            </w:r>
          </w:p>
        </w:tc>
        <w:tc>
          <w:tcPr>
            <w:tcW w:w="1091" w:type="dxa"/>
            <w:tcBorders>
              <w:top w:val="single" w:sz="18" w:space="0" w:color="auto"/>
            </w:tcBorders>
            <w:shd w:val="clear" w:color="auto" w:fill="auto"/>
            <w:vAlign w:val="center"/>
            <w:hideMark/>
          </w:tcPr>
          <w:p w14:paraId="5D015BAD"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426,592</w:t>
            </w:r>
          </w:p>
        </w:tc>
        <w:tc>
          <w:tcPr>
            <w:tcW w:w="1091" w:type="dxa"/>
            <w:tcBorders>
              <w:top w:val="single" w:sz="18" w:space="0" w:color="auto"/>
            </w:tcBorders>
            <w:shd w:val="clear" w:color="auto" w:fill="auto"/>
            <w:vAlign w:val="center"/>
            <w:hideMark/>
          </w:tcPr>
          <w:p w14:paraId="1826D8FC"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130,846</w:t>
            </w:r>
          </w:p>
        </w:tc>
        <w:tc>
          <w:tcPr>
            <w:tcW w:w="1295" w:type="dxa"/>
            <w:tcBorders>
              <w:top w:val="single" w:sz="18" w:space="0" w:color="auto"/>
            </w:tcBorders>
            <w:shd w:val="clear" w:color="auto" w:fill="auto"/>
            <w:vAlign w:val="center"/>
            <w:hideMark/>
          </w:tcPr>
          <w:p w14:paraId="255F0CEC"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3,058,507</w:t>
            </w:r>
          </w:p>
        </w:tc>
        <w:tc>
          <w:tcPr>
            <w:tcW w:w="1295" w:type="dxa"/>
            <w:tcBorders>
              <w:top w:val="single" w:sz="18" w:space="0" w:color="auto"/>
            </w:tcBorders>
            <w:shd w:val="clear" w:color="auto" w:fill="auto"/>
            <w:vAlign w:val="center"/>
            <w:hideMark/>
          </w:tcPr>
          <w:p w14:paraId="4A7F7740"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3,678,696</w:t>
            </w:r>
          </w:p>
        </w:tc>
        <w:tc>
          <w:tcPr>
            <w:tcW w:w="1298" w:type="dxa"/>
            <w:tcBorders>
              <w:top w:val="single" w:sz="18" w:space="0" w:color="auto"/>
            </w:tcBorders>
            <w:shd w:val="clear" w:color="auto" w:fill="auto"/>
            <w:vAlign w:val="center"/>
            <w:hideMark/>
          </w:tcPr>
          <w:p w14:paraId="170EB0F6"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4,124,006</w:t>
            </w:r>
          </w:p>
        </w:tc>
        <w:tc>
          <w:tcPr>
            <w:tcW w:w="1348" w:type="dxa"/>
            <w:tcBorders>
              <w:top w:val="single" w:sz="18" w:space="0" w:color="auto"/>
              <w:right w:val="single" w:sz="18" w:space="0" w:color="auto"/>
            </w:tcBorders>
            <w:shd w:val="clear" w:color="auto" w:fill="auto"/>
            <w:vAlign w:val="center"/>
            <w:hideMark/>
          </w:tcPr>
          <w:p w14:paraId="29A7979F" w14:textId="6F3B033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5,45</w:t>
            </w:r>
            <w:r w:rsidR="0064428B">
              <w:rPr>
                <w:rFonts w:ascii="Bookman Old Style" w:hAnsi="Bookman Old Style" w:cs="Calibri"/>
                <w:color w:val="000000"/>
                <w:sz w:val="22"/>
                <w:szCs w:val="22"/>
                <w:lang w:eastAsia="en-GB"/>
              </w:rPr>
              <w:t>4,949</w:t>
            </w:r>
            <w:r w:rsidR="001E3FB0">
              <w:rPr>
                <w:rStyle w:val="FootnoteReference"/>
                <w:rFonts w:ascii="Bookman Old Style" w:hAnsi="Bookman Old Style" w:cs="Calibri"/>
                <w:color w:val="000000"/>
                <w:sz w:val="22"/>
                <w:szCs w:val="22"/>
                <w:lang w:eastAsia="en-GB"/>
              </w:rPr>
              <w:footnoteReference w:id="3"/>
            </w:r>
          </w:p>
        </w:tc>
      </w:tr>
      <w:tr w:rsidR="00C115FB" w:rsidRPr="00C115FB" w14:paraId="47D40620" w14:textId="77777777" w:rsidTr="00936BFD">
        <w:trPr>
          <w:trHeight w:val="458"/>
        </w:trPr>
        <w:tc>
          <w:tcPr>
            <w:tcW w:w="1626" w:type="dxa"/>
            <w:vMerge w:val="restart"/>
            <w:tcBorders>
              <w:left w:val="single" w:sz="18" w:space="0" w:color="auto"/>
            </w:tcBorders>
            <w:shd w:val="clear" w:color="auto" w:fill="auto"/>
            <w:vAlign w:val="center"/>
            <w:hideMark/>
          </w:tcPr>
          <w:p w14:paraId="013DED3C" w14:textId="77777777" w:rsidR="00C115FB" w:rsidRPr="00C115FB" w:rsidRDefault="00C115FB" w:rsidP="00C115FB">
            <w:pPr>
              <w:spacing w:after="0"/>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External (USD)</w:t>
            </w:r>
          </w:p>
        </w:tc>
        <w:tc>
          <w:tcPr>
            <w:tcW w:w="1091" w:type="dxa"/>
            <w:vMerge w:val="restart"/>
            <w:shd w:val="clear" w:color="auto" w:fill="auto"/>
            <w:vAlign w:val="center"/>
            <w:hideMark/>
          </w:tcPr>
          <w:p w14:paraId="3FC2BD76"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2,969</w:t>
            </w:r>
          </w:p>
        </w:tc>
        <w:tc>
          <w:tcPr>
            <w:tcW w:w="1091" w:type="dxa"/>
            <w:vMerge w:val="restart"/>
            <w:shd w:val="clear" w:color="auto" w:fill="auto"/>
            <w:vAlign w:val="center"/>
            <w:hideMark/>
          </w:tcPr>
          <w:p w14:paraId="2CEB2738"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452</w:t>
            </w:r>
          </w:p>
        </w:tc>
        <w:tc>
          <w:tcPr>
            <w:tcW w:w="1295" w:type="dxa"/>
            <w:vMerge w:val="restart"/>
            <w:shd w:val="clear" w:color="auto" w:fill="auto"/>
            <w:vAlign w:val="center"/>
            <w:hideMark/>
          </w:tcPr>
          <w:p w14:paraId="544C5BFF"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2,441</w:t>
            </w:r>
          </w:p>
        </w:tc>
        <w:tc>
          <w:tcPr>
            <w:tcW w:w="1295" w:type="dxa"/>
            <w:vMerge w:val="restart"/>
            <w:shd w:val="clear" w:color="auto" w:fill="auto"/>
            <w:vAlign w:val="center"/>
            <w:hideMark/>
          </w:tcPr>
          <w:p w14:paraId="10721883"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2,747</w:t>
            </w:r>
          </w:p>
        </w:tc>
        <w:tc>
          <w:tcPr>
            <w:tcW w:w="1298" w:type="dxa"/>
            <w:vMerge w:val="restart"/>
            <w:shd w:val="clear" w:color="auto" w:fill="auto"/>
            <w:vAlign w:val="center"/>
            <w:hideMark/>
          </w:tcPr>
          <w:p w14:paraId="04230906"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3,152</w:t>
            </w:r>
          </w:p>
        </w:tc>
        <w:tc>
          <w:tcPr>
            <w:tcW w:w="1348" w:type="dxa"/>
            <w:vMerge w:val="restart"/>
            <w:tcBorders>
              <w:right w:val="single" w:sz="18" w:space="0" w:color="auto"/>
            </w:tcBorders>
            <w:shd w:val="clear" w:color="auto" w:fill="auto"/>
            <w:vAlign w:val="center"/>
            <w:hideMark/>
          </w:tcPr>
          <w:p w14:paraId="4F1DDDD5" w14:textId="6B7159FB" w:rsidR="00C115FB" w:rsidRPr="00C115FB" w:rsidRDefault="0064428B" w:rsidP="00C115FB">
            <w:pPr>
              <w:spacing w:after="0"/>
              <w:jc w:val="right"/>
              <w:rPr>
                <w:rFonts w:ascii="Bookman Old Style" w:hAnsi="Bookman Old Style" w:cs="Calibri"/>
                <w:color w:val="000000"/>
                <w:sz w:val="22"/>
                <w:szCs w:val="22"/>
                <w:lang w:eastAsia="en-GB"/>
              </w:rPr>
            </w:pPr>
            <w:r>
              <w:rPr>
                <w:rFonts w:ascii="Bookman Old Style" w:hAnsi="Bookman Old Style" w:cs="Calibri"/>
                <w:color w:val="000000"/>
                <w:sz w:val="22"/>
                <w:szCs w:val="22"/>
                <w:lang w:eastAsia="en-GB"/>
              </w:rPr>
              <w:t>3,587</w:t>
            </w:r>
          </w:p>
        </w:tc>
      </w:tr>
      <w:tr w:rsidR="00C115FB" w:rsidRPr="00C115FB" w14:paraId="553DB721" w14:textId="77777777" w:rsidTr="00936BFD">
        <w:trPr>
          <w:trHeight w:val="458"/>
        </w:trPr>
        <w:tc>
          <w:tcPr>
            <w:tcW w:w="1626" w:type="dxa"/>
            <w:vMerge/>
            <w:tcBorders>
              <w:left w:val="single" w:sz="18" w:space="0" w:color="auto"/>
            </w:tcBorders>
            <w:vAlign w:val="center"/>
            <w:hideMark/>
          </w:tcPr>
          <w:p w14:paraId="2BFBD9FC" w14:textId="77777777" w:rsidR="00C115FB" w:rsidRPr="00C115FB" w:rsidRDefault="00C115FB" w:rsidP="00C115FB">
            <w:pPr>
              <w:spacing w:after="0"/>
              <w:jc w:val="left"/>
              <w:rPr>
                <w:rFonts w:ascii="Bookman Old Style" w:hAnsi="Bookman Old Style" w:cs="Calibri"/>
                <w:b/>
                <w:bCs/>
                <w:color w:val="000000"/>
                <w:sz w:val="22"/>
                <w:szCs w:val="22"/>
                <w:lang w:eastAsia="en-GB"/>
              </w:rPr>
            </w:pPr>
          </w:p>
        </w:tc>
        <w:tc>
          <w:tcPr>
            <w:tcW w:w="1091" w:type="dxa"/>
            <w:vMerge/>
            <w:vAlign w:val="center"/>
            <w:hideMark/>
          </w:tcPr>
          <w:p w14:paraId="77E662A6" w14:textId="77777777" w:rsidR="00C115FB" w:rsidRPr="00C115FB" w:rsidRDefault="00C115FB" w:rsidP="00C115FB">
            <w:pPr>
              <w:spacing w:after="0"/>
              <w:jc w:val="left"/>
              <w:rPr>
                <w:rFonts w:ascii="Bookman Old Style" w:hAnsi="Bookman Old Style" w:cs="Calibri"/>
                <w:color w:val="000000"/>
                <w:sz w:val="22"/>
                <w:szCs w:val="22"/>
                <w:lang w:eastAsia="en-GB"/>
              </w:rPr>
            </w:pPr>
          </w:p>
        </w:tc>
        <w:tc>
          <w:tcPr>
            <w:tcW w:w="1091" w:type="dxa"/>
            <w:vMerge/>
            <w:vAlign w:val="center"/>
            <w:hideMark/>
          </w:tcPr>
          <w:p w14:paraId="5C636CCB" w14:textId="77777777" w:rsidR="00C115FB" w:rsidRPr="00C115FB" w:rsidRDefault="00C115FB" w:rsidP="00C115FB">
            <w:pPr>
              <w:spacing w:after="0"/>
              <w:jc w:val="left"/>
              <w:rPr>
                <w:rFonts w:ascii="Bookman Old Style" w:hAnsi="Bookman Old Style" w:cs="Calibri"/>
                <w:color w:val="000000"/>
                <w:sz w:val="22"/>
                <w:szCs w:val="22"/>
                <w:lang w:eastAsia="en-GB"/>
              </w:rPr>
            </w:pPr>
          </w:p>
        </w:tc>
        <w:tc>
          <w:tcPr>
            <w:tcW w:w="1295" w:type="dxa"/>
            <w:vMerge/>
            <w:vAlign w:val="center"/>
            <w:hideMark/>
          </w:tcPr>
          <w:p w14:paraId="6D519690" w14:textId="77777777" w:rsidR="00C115FB" w:rsidRPr="00C115FB" w:rsidRDefault="00C115FB" w:rsidP="00C115FB">
            <w:pPr>
              <w:spacing w:after="0"/>
              <w:jc w:val="left"/>
              <w:rPr>
                <w:rFonts w:ascii="Bookman Old Style" w:hAnsi="Bookman Old Style" w:cs="Calibri"/>
                <w:color w:val="000000"/>
                <w:sz w:val="22"/>
                <w:szCs w:val="22"/>
                <w:lang w:eastAsia="en-GB"/>
              </w:rPr>
            </w:pPr>
          </w:p>
        </w:tc>
        <w:tc>
          <w:tcPr>
            <w:tcW w:w="1295" w:type="dxa"/>
            <w:vMerge/>
            <w:vAlign w:val="center"/>
            <w:hideMark/>
          </w:tcPr>
          <w:p w14:paraId="6E0A04F3" w14:textId="77777777" w:rsidR="00C115FB" w:rsidRPr="00C115FB" w:rsidRDefault="00C115FB" w:rsidP="00C115FB">
            <w:pPr>
              <w:spacing w:after="0"/>
              <w:jc w:val="left"/>
              <w:rPr>
                <w:rFonts w:ascii="Bookman Old Style" w:hAnsi="Bookman Old Style" w:cs="Calibri"/>
                <w:color w:val="000000"/>
                <w:sz w:val="22"/>
                <w:szCs w:val="22"/>
                <w:lang w:eastAsia="en-GB"/>
              </w:rPr>
            </w:pPr>
          </w:p>
        </w:tc>
        <w:tc>
          <w:tcPr>
            <w:tcW w:w="1298" w:type="dxa"/>
            <w:vMerge/>
            <w:vAlign w:val="center"/>
            <w:hideMark/>
          </w:tcPr>
          <w:p w14:paraId="116CDB30" w14:textId="77777777" w:rsidR="00C115FB" w:rsidRPr="00C115FB" w:rsidRDefault="00C115FB" w:rsidP="00C115FB">
            <w:pPr>
              <w:spacing w:after="0"/>
              <w:jc w:val="left"/>
              <w:rPr>
                <w:rFonts w:ascii="Bookman Old Style" w:hAnsi="Bookman Old Style" w:cs="Calibri"/>
                <w:color w:val="000000"/>
                <w:sz w:val="22"/>
                <w:szCs w:val="22"/>
                <w:lang w:eastAsia="en-GB"/>
              </w:rPr>
            </w:pPr>
          </w:p>
        </w:tc>
        <w:tc>
          <w:tcPr>
            <w:tcW w:w="1348" w:type="dxa"/>
            <w:vMerge/>
            <w:tcBorders>
              <w:right w:val="single" w:sz="18" w:space="0" w:color="auto"/>
            </w:tcBorders>
            <w:vAlign w:val="center"/>
            <w:hideMark/>
          </w:tcPr>
          <w:p w14:paraId="18216C20" w14:textId="77777777" w:rsidR="00C115FB" w:rsidRPr="00C115FB" w:rsidRDefault="00C115FB" w:rsidP="00C115FB">
            <w:pPr>
              <w:spacing w:after="0"/>
              <w:jc w:val="left"/>
              <w:rPr>
                <w:rFonts w:ascii="Bookman Old Style" w:hAnsi="Bookman Old Style" w:cs="Calibri"/>
                <w:color w:val="000000"/>
                <w:sz w:val="22"/>
                <w:szCs w:val="22"/>
                <w:lang w:eastAsia="en-GB"/>
              </w:rPr>
            </w:pPr>
          </w:p>
        </w:tc>
      </w:tr>
      <w:tr w:rsidR="00C115FB" w:rsidRPr="00C115FB" w14:paraId="4D226CE5" w14:textId="77777777" w:rsidTr="00936BFD">
        <w:trPr>
          <w:trHeight w:val="280"/>
        </w:trPr>
        <w:tc>
          <w:tcPr>
            <w:tcW w:w="1626" w:type="dxa"/>
            <w:tcBorders>
              <w:left w:val="single" w:sz="18" w:space="0" w:color="auto"/>
            </w:tcBorders>
            <w:shd w:val="clear" w:color="auto" w:fill="auto"/>
            <w:noWrap/>
            <w:vAlign w:val="bottom"/>
            <w:hideMark/>
          </w:tcPr>
          <w:p w14:paraId="3BA74CF9" w14:textId="77777777" w:rsidR="00C115FB" w:rsidRPr="00C115FB" w:rsidRDefault="00C115FB" w:rsidP="00C115FB">
            <w:pPr>
              <w:spacing w:after="0"/>
              <w:jc w:val="left"/>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Domestic (MK)</w:t>
            </w:r>
          </w:p>
        </w:tc>
        <w:tc>
          <w:tcPr>
            <w:tcW w:w="1091" w:type="dxa"/>
            <w:shd w:val="clear" w:color="auto" w:fill="auto"/>
            <w:vAlign w:val="center"/>
            <w:hideMark/>
          </w:tcPr>
          <w:p w14:paraId="1C40BA16"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73,337</w:t>
            </w:r>
          </w:p>
        </w:tc>
        <w:tc>
          <w:tcPr>
            <w:tcW w:w="1091" w:type="dxa"/>
            <w:shd w:val="clear" w:color="auto" w:fill="auto"/>
            <w:vAlign w:val="center"/>
            <w:hideMark/>
          </w:tcPr>
          <w:p w14:paraId="7A2F985C"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68,957</w:t>
            </w:r>
          </w:p>
        </w:tc>
        <w:tc>
          <w:tcPr>
            <w:tcW w:w="1295" w:type="dxa"/>
            <w:shd w:val="clear" w:color="auto" w:fill="auto"/>
            <w:vAlign w:val="center"/>
            <w:hideMark/>
          </w:tcPr>
          <w:p w14:paraId="0EF4EE5F"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1,287,091</w:t>
            </w:r>
          </w:p>
        </w:tc>
        <w:tc>
          <w:tcPr>
            <w:tcW w:w="1295" w:type="dxa"/>
            <w:shd w:val="clear" w:color="auto" w:fill="auto"/>
            <w:vAlign w:val="center"/>
            <w:hideMark/>
          </w:tcPr>
          <w:p w14:paraId="65696A2E"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1,549,588</w:t>
            </w:r>
          </w:p>
        </w:tc>
        <w:tc>
          <w:tcPr>
            <w:tcW w:w="1298" w:type="dxa"/>
            <w:shd w:val="clear" w:color="auto" w:fill="auto"/>
            <w:vAlign w:val="center"/>
            <w:hideMark/>
          </w:tcPr>
          <w:p w14:paraId="181B6558"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1,800,711</w:t>
            </w:r>
          </w:p>
        </w:tc>
        <w:tc>
          <w:tcPr>
            <w:tcW w:w="1348" w:type="dxa"/>
            <w:tcBorders>
              <w:right w:val="single" w:sz="18" w:space="0" w:color="auto"/>
            </w:tcBorders>
            <w:shd w:val="clear" w:color="auto" w:fill="auto"/>
            <w:vAlign w:val="center"/>
            <w:hideMark/>
          </w:tcPr>
          <w:p w14:paraId="6E0B9365"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2,565,469</w:t>
            </w:r>
          </w:p>
        </w:tc>
      </w:tr>
      <w:tr w:rsidR="00C115FB" w:rsidRPr="00C115FB" w14:paraId="6C4A51AF" w14:textId="77777777" w:rsidTr="00936BFD">
        <w:trPr>
          <w:trHeight w:val="292"/>
        </w:trPr>
        <w:tc>
          <w:tcPr>
            <w:tcW w:w="1626" w:type="dxa"/>
            <w:tcBorders>
              <w:left w:val="single" w:sz="18" w:space="0" w:color="auto"/>
            </w:tcBorders>
            <w:shd w:val="clear" w:color="auto" w:fill="auto"/>
            <w:vAlign w:val="center"/>
            <w:hideMark/>
          </w:tcPr>
          <w:p w14:paraId="3CB879EA" w14:textId="5AE40307" w:rsidR="00C115FB" w:rsidRPr="00C115FB" w:rsidRDefault="00C115FB" w:rsidP="00C115FB">
            <w:pPr>
              <w:spacing w:after="0"/>
              <w:rPr>
                <w:rFonts w:ascii="Bookman Old Style" w:hAnsi="Bookman Old Style" w:cs="Calibri"/>
                <w:b/>
                <w:bCs/>
                <w:color w:val="000000"/>
                <w:sz w:val="22"/>
                <w:szCs w:val="22"/>
                <w:lang w:eastAsia="en-GB"/>
              </w:rPr>
            </w:pPr>
            <w:r>
              <w:rPr>
                <w:rFonts w:ascii="Bookman Old Style" w:hAnsi="Bookman Old Style" w:cs="Calibri"/>
                <w:b/>
                <w:bCs/>
                <w:color w:val="000000"/>
                <w:sz w:val="22"/>
                <w:szCs w:val="22"/>
                <w:lang w:val="en-US" w:eastAsia="en-GB"/>
              </w:rPr>
              <w:t xml:space="preserve">Nominal </w:t>
            </w:r>
            <w:r w:rsidRPr="00C115FB">
              <w:rPr>
                <w:rFonts w:ascii="Bookman Old Style" w:hAnsi="Bookman Old Style" w:cs="Calibri"/>
                <w:b/>
                <w:bCs/>
                <w:color w:val="000000"/>
                <w:sz w:val="22"/>
                <w:szCs w:val="22"/>
                <w:lang w:val="en-US" w:eastAsia="en-GB"/>
              </w:rPr>
              <w:t>GDP</w:t>
            </w:r>
            <w:r>
              <w:rPr>
                <w:rFonts w:ascii="Bookman Old Style" w:hAnsi="Bookman Old Style" w:cs="Calibri"/>
                <w:b/>
                <w:bCs/>
                <w:color w:val="000000"/>
                <w:sz w:val="22"/>
                <w:szCs w:val="22"/>
                <w:lang w:val="en-US" w:eastAsia="en-GB"/>
              </w:rPr>
              <w:t xml:space="preserve"> (MK)</w:t>
            </w:r>
          </w:p>
        </w:tc>
        <w:tc>
          <w:tcPr>
            <w:tcW w:w="1091" w:type="dxa"/>
            <w:shd w:val="clear" w:color="auto" w:fill="auto"/>
            <w:vAlign w:val="center"/>
            <w:hideMark/>
          </w:tcPr>
          <w:p w14:paraId="0C29CEFE"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326,957</w:t>
            </w:r>
          </w:p>
        </w:tc>
        <w:tc>
          <w:tcPr>
            <w:tcW w:w="1091" w:type="dxa"/>
            <w:shd w:val="clear" w:color="auto" w:fill="auto"/>
            <w:vAlign w:val="center"/>
            <w:hideMark/>
          </w:tcPr>
          <w:p w14:paraId="3AF6969A"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430,522</w:t>
            </w:r>
          </w:p>
        </w:tc>
        <w:tc>
          <w:tcPr>
            <w:tcW w:w="1295" w:type="dxa"/>
            <w:shd w:val="clear" w:color="auto" w:fill="auto"/>
            <w:vAlign w:val="center"/>
            <w:hideMark/>
          </w:tcPr>
          <w:p w14:paraId="20FC71DB"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6,882,262</w:t>
            </w:r>
          </w:p>
        </w:tc>
        <w:tc>
          <w:tcPr>
            <w:tcW w:w="1295" w:type="dxa"/>
            <w:shd w:val="clear" w:color="auto" w:fill="auto"/>
            <w:vAlign w:val="center"/>
            <w:hideMark/>
          </w:tcPr>
          <w:p w14:paraId="0FA8A538"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7,729,106</w:t>
            </w:r>
          </w:p>
        </w:tc>
        <w:tc>
          <w:tcPr>
            <w:tcW w:w="1298" w:type="dxa"/>
            <w:shd w:val="clear" w:color="auto" w:fill="auto"/>
            <w:vAlign w:val="center"/>
            <w:hideMark/>
          </w:tcPr>
          <w:p w14:paraId="53D713D5"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8,520,572</w:t>
            </w:r>
          </w:p>
        </w:tc>
        <w:tc>
          <w:tcPr>
            <w:tcW w:w="1348" w:type="dxa"/>
            <w:tcBorders>
              <w:right w:val="single" w:sz="18" w:space="0" w:color="auto"/>
            </w:tcBorders>
            <w:shd w:val="clear" w:color="auto" w:fill="auto"/>
            <w:vAlign w:val="center"/>
            <w:hideMark/>
          </w:tcPr>
          <w:p w14:paraId="7D20BEF2"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9,274,071</w:t>
            </w:r>
          </w:p>
        </w:tc>
      </w:tr>
      <w:tr w:rsidR="00C115FB" w:rsidRPr="00C115FB" w14:paraId="7DDC5DEE" w14:textId="77777777" w:rsidTr="00936BFD">
        <w:trPr>
          <w:trHeight w:val="550"/>
        </w:trPr>
        <w:tc>
          <w:tcPr>
            <w:tcW w:w="1626" w:type="dxa"/>
            <w:tcBorders>
              <w:left w:val="single" w:sz="18" w:space="0" w:color="auto"/>
            </w:tcBorders>
            <w:shd w:val="clear" w:color="auto" w:fill="auto"/>
            <w:vAlign w:val="center"/>
            <w:hideMark/>
          </w:tcPr>
          <w:p w14:paraId="7A2C8581" w14:textId="79D0129F" w:rsidR="00C115FB" w:rsidRPr="00C115FB" w:rsidRDefault="00C115FB" w:rsidP="00C115FB">
            <w:pPr>
              <w:spacing w:after="0"/>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Revenue</w:t>
            </w:r>
          </w:p>
        </w:tc>
        <w:tc>
          <w:tcPr>
            <w:tcW w:w="1091" w:type="dxa"/>
            <w:shd w:val="clear" w:color="auto" w:fill="auto"/>
            <w:vAlign w:val="center"/>
            <w:hideMark/>
          </w:tcPr>
          <w:p w14:paraId="190AAB77"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73,337</w:t>
            </w:r>
          </w:p>
        </w:tc>
        <w:tc>
          <w:tcPr>
            <w:tcW w:w="1091" w:type="dxa"/>
            <w:shd w:val="clear" w:color="auto" w:fill="auto"/>
            <w:vAlign w:val="center"/>
            <w:hideMark/>
          </w:tcPr>
          <w:p w14:paraId="4960A29C"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68,957</w:t>
            </w:r>
          </w:p>
        </w:tc>
        <w:tc>
          <w:tcPr>
            <w:tcW w:w="1295" w:type="dxa"/>
            <w:shd w:val="clear" w:color="auto" w:fill="auto"/>
            <w:vAlign w:val="center"/>
            <w:hideMark/>
          </w:tcPr>
          <w:p w14:paraId="1B4B2539" w14:textId="2C0B8C05" w:rsidR="00C115FB" w:rsidRPr="00C115FB" w:rsidRDefault="00747B00" w:rsidP="00C115FB">
            <w:pPr>
              <w:spacing w:after="0"/>
              <w:jc w:val="right"/>
              <w:rPr>
                <w:rFonts w:ascii="Bookman Old Style" w:hAnsi="Bookman Old Style" w:cs="Calibri"/>
                <w:color w:val="000000"/>
                <w:sz w:val="22"/>
                <w:szCs w:val="22"/>
                <w:lang w:eastAsia="en-GB"/>
              </w:rPr>
            </w:pPr>
            <w:r>
              <w:rPr>
                <w:rFonts w:ascii="Bookman Old Style" w:hAnsi="Bookman Old Style" w:cs="Calibri"/>
                <w:color w:val="000000"/>
                <w:sz w:val="22"/>
                <w:szCs w:val="22"/>
                <w:lang w:eastAsia="en-GB"/>
              </w:rPr>
              <w:t>1,007,257</w:t>
            </w:r>
          </w:p>
        </w:tc>
        <w:tc>
          <w:tcPr>
            <w:tcW w:w="1295" w:type="dxa"/>
            <w:shd w:val="clear" w:color="auto" w:fill="auto"/>
            <w:vAlign w:val="center"/>
            <w:hideMark/>
          </w:tcPr>
          <w:p w14:paraId="2CDFBA6C" w14:textId="6E33151D" w:rsidR="00C115FB" w:rsidRPr="00C115FB" w:rsidRDefault="00747B00" w:rsidP="00C115FB">
            <w:pPr>
              <w:spacing w:after="0"/>
              <w:jc w:val="right"/>
              <w:rPr>
                <w:rFonts w:ascii="Bookman Old Style" w:hAnsi="Bookman Old Style" w:cs="Calibri"/>
                <w:color w:val="000000"/>
                <w:sz w:val="22"/>
                <w:szCs w:val="22"/>
                <w:lang w:eastAsia="en-GB"/>
              </w:rPr>
            </w:pPr>
            <w:r>
              <w:rPr>
                <w:rFonts w:ascii="Bookman Old Style" w:hAnsi="Bookman Old Style" w:cs="Calibri"/>
                <w:color w:val="000000"/>
                <w:sz w:val="22"/>
                <w:szCs w:val="22"/>
                <w:lang w:eastAsia="en-GB"/>
              </w:rPr>
              <w:t>1,132,530</w:t>
            </w:r>
          </w:p>
        </w:tc>
        <w:tc>
          <w:tcPr>
            <w:tcW w:w="1298" w:type="dxa"/>
            <w:shd w:val="clear" w:color="auto" w:fill="auto"/>
            <w:vAlign w:val="center"/>
            <w:hideMark/>
          </w:tcPr>
          <w:p w14:paraId="1DFF9C59" w14:textId="41F9EEED" w:rsidR="00C115FB" w:rsidRPr="00C115FB" w:rsidRDefault="00747B00" w:rsidP="00C115FB">
            <w:pPr>
              <w:spacing w:after="0"/>
              <w:jc w:val="right"/>
              <w:rPr>
                <w:rFonts w:ascii="Bookman Old Style" w:hAnsi="Bookman Old Style" w:cs="Calibri"/>
                <w:color w:val="000000"/>
                <w:sz w:val="22"/>
                <w:szCs w:val="22"/>
                <w:lang w:eastAsia="en-GB"/>
              </w:rPr>
            </w:pPr>
            <w:r>
              <w:rPr>
                <w:rFonts w:ascii="Bookman Old Style" w:hAnsi="Bookman Old Style" w:cs="Calibri"/>
                <w:color w:val="000000"/>
                <w:sz w:val="22"/>
                <w:szCs w:val="22"/>
                <w:lang w:eastAsia="en-GB"/>
              </w:rPr>
              <w:t>1,264,263</w:t>
            </w:r>
          </w:p>
        </w:tc>
        <w:tc>
          <w:tcPr>
            <w:tcW w:w="1348" w:type="dxa"/>
            <w:tcBorders>
              <w:right w:val="single" w:sz="18" w:space="0" w:color="auto"/>
            </w:tcBorders>
            <w:shd w:val="clear" w:color="auto" w:fill="auto"/>
            <w:vAlign w:val="center"/>
            <w:hideMark/>
          </w:tcPr>
          <w:p w14:paraId="721DD75F" w14:textId="428690F5" w:rsidR="00C115FB" w:rsidRPr="00C115FB" w:rsidRDefault="00747B00" w:rsidP="00C115FB">
            <w:pPr>
              <w:spacing w:after="0"/>
              <w:jc w:val="right"/>
              <w:rPr>
                <w:rFonts w:ascii="Bookman Old Style" w:hAnsi="Bookman Old Style" w:cs="Calibri"/>
                <w:color w:val="000000"/>
                <w:sz w:val="22"/>
                <w:szCs w:val="22"/>
                <w:lang w:eastAsia="en-GB"/>
              </w:rPr>
            </w:pPr>
            <w:r>
              <w:rPr>
                <w:rFonts w:ascii="Bookman Old Style" w:hAnsi="Bookman Old Style" w:cs="Calibri"/>
                <w:color w:val="000000"/>
                <w:sz w:val="22"/>
                <w:szCs w:val="22"/>
                <w:lang w:eastAsia="en-GB"/>
              </w:rPr>
              <w:t>1,406,027</w:t>
            </w:r>
          </w:p>
        </w:tc>
      </w:tr>
      <w:tr w:rsidR="00C115FB" w:rsidRPr="00C115FB" w14:paraId="3E249EA8" w14:textId="77777777" w:rsidTr="00936BFD">
        <w:trPr>
          <w:trHeight w:val="292"/>
        </w:trPr>
        <w:tc>
          <w:tcPr>
            <w:tcW w:w="7699" w:type="dxa"/>
            <w:gridSpan w:val="6"/>
            <w:tcBorders>
              <w:left w:val="single" w:sz="18" w:space="0" w:color="auto"/>
            </w:tcBorders>
            <w:shd w:val="clear" w:color="auto" w:fill="B3D5AB" w:themeFill="accent4" w:themeFillTint="66"/>
            <w:vAlign w:val="center"/>
            <w:hideMark/>
          </w:tcPr>
          <w:p w14:paraId="0A0C6E92" w14:textId="77777777" w:rsidR="00C115FB" w:rsidRPr="00C115FB" w:rsidRDefault="00C115FB" w:rsidP="00C115FB">
            <w:pPr>
              <w:spacing w:after="0"/>
              <w:jc w:val="center"/>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Percent of GDP</w:t>
            </w:r>
          </w:p>
        </w:tc>
        <w:tc>
          <w:tcPr>
            <w:tcW w:w="1348" w:type="dxa"/>
            <w:tcBorders>
              <w:right w:val="single" w:sz="18" w:space="0" w:color="auto"/>
            </w:tcBorders>
            <w:shd w:val="clear" w:color="auto" w:fill="B3D5AB" w:themeFill="accent4" w:themeFillTint="66"/>
            <w:vAlign w:val="center"/>
            <w:hideMark/>
          </w:tcPr>
          <w:p w14:paraId="19FA9B4D" w14:textId="77777777" w:rsidR="00C115FB" w:rsidRPr="00C115FB" w:rsidRDefault="00C115FB" w:rsidP="00C115FB">
            <w:pPr>
              <w:spacing w:after="0"/>
              <w:jc w:val="center"/>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eastAsia="en-GB"/>
              </w:rPr>
              <w:t> </w:t>
            </w:r>
          </w:p>
        </w:tc>
      </w:tr>
      <w:tr w:rsidR="00C115FB" w:rsidRPr="00C115FB" w14:paraId="28F7AB83" w14:textId="77777777" w:rsidTr="00936BFD">
        <w:trPr>
          <w:trHeight w:val="292"/>
        </w:trPr>
        <w:tc>
          <w:tcPr>
            <w:tcW w:w="1626" w:type="dxa"/>
            <w:tcBorders>
              <w:left w:val="single" w:sz="18" w:space="0" w:color="auto"/>
            </w:tcBorders>
            <w:shd w:val="clear" w:color="auto" w:fill="auto"/>
            <w:vAlign w:val="center"/>
            <w:hideMark/>
          </w:tcPr>
          <w:p w14:paraId="1DE76A07" w14:textId="77777777" w:rsidR="00C115FB" w:rsidRPr="00C115FB" w:rsidRDefault="00C115FB" w:rsidP="00C115FB">
            <w:pPr>
              <w:spacing w:after="0"/>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Total (%)</w:t>
            </w:r>
          </w:p>
        </w:tc>
        <w:tc>
          <w:tcPr>
            <w:tcW w:w="1091" w:type="dxa"/>
            <w:shd w:val="clear" w:color="auto" w:fill="auto"/>
            <w:vAlign w:val="center"/>
            <w:hideMark/>
          </w:tcPr>
          <w:p w14:paraId="51DB3D99"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130</w:t>
            </w:r>
          </w:p>
        </w:tc>
        <w:tc>
          <w:tcPr>
            <w:tcW w:w="1091" w:type="dxa"/>
            <w:shd w:val="clear" w:color="auto" w:fill="auto"/>
            <w:vAlign w:val="center"/>
            <w:hideMark/>
          </w:tcPr>
          <w:p w14:paraId="62D6F31E"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30</w:t>
            </w:r>
          </w:p>
        </w:tc>
        <w:tc>
          <w:tcPr>
            <w:tcW w:w="1295" w:type="dxa"/>
            <w:shd w:val="clear" w:color="auto" w:fill="auto"/>
            <w:vAlign w:val="center"/>
            <w:hideMark/>
          </w:tcPr>
          <w:p w14:paraId="6B39AC40"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44</w:t>
            </w:r>
          </w:p>
        </w:tc>
        <w:tc>
          <w:tcPr>
            <w:tcW w:w="1295" w:type="dxa"/>
            <w:shd w:val="clear" w:color="auto" w:fill="auto"/>
            <w:vAlign w:val="center"/>
            <w:hideMark/>
          </w:tcPr>
          <w:p w14:paraId="1E91F1BD"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48</w:t>
            </w:r>
          </w:p>
        </w:tc>
        <w:tc>
          <w:tcPr>
            <w:tcW w:w="1298" w:type="dxa"/>
            <w:shd w:val="clear" w:color="auto" w:fill="auto"/>
            <w:vAlign w:val="center"/>
            <w:hideMark/>
          </w:tcPr>
          <w:p w14:paraId="5FF39515"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48</w:t>
            </w:r>
          </w:p>
        </w:tc>
        <w:tc>
          <w:tcPr>
            <w:tcW w:w="1348" w:type="dxa"/>
            <w:tcBorders>
              <w:right w:val="single" w:sz="18" w:space="0" w:color="auto"/>
            </w:tcBorders>
            <w:shd w:val="clear" w:color="auto" w:fill="auto"/>
            <w:vAlign w:val="center"/>
            <w:hideMark/>
          </w:tcPr>
          <w:p w14:paraId="1EAB3407"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59</w:t>
            </w:r>
          </w:p>
        </w:tc>
      </w:tr>
      <w:tr w:rsidR="00C115FB" w:rsidRPr="00C115FB" w14:paraId="4933E75A" w14:textId="77777777" w:rsidTr="00936BFD">
        <w:trPr>
          <w:trHeight w:val="292"/>
        </w:trPr>
        <w:tc>
          <w:tcPr>
            <w:tcW w:w="1626" w:type="dxa"/>
            <w:tcBorders>
              <w:left w:val="single" w:sz="18" w:space="0" w:color="auto"/>
            </w:tcBorders>
            <w:shd w:val="clear" w:color="auto" w:fill="auto"/>
            <w:vAlign w:val="center"/>
            <w:hideMark/>
          </w:tcPr>
          <w:p w14:paraId="407B988E" w14:textId="77777777" w:rsidR="00C115FB" w:rsidRPr="00C115FB" w:rsidRDefault="00C115FB" w:rsidP="00C115FB">
            <w:pPr>
              <w:spacing w:after="0"/>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External (%)</w:t>
            </w:r>
          </w:p>
        </w:tc>
        <w:tc>
          <w:tcPr>
            <w:tcW w:w="1091" w:type="dxa"/>
            <w:shd w:val="clear" w:color="auto" w:fill="auto"/>
            <w:vAlign w:val="center"/>
            <w:hideMark/>
          </w:tcPr>
          <w:p w14:paraId="609862DD"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108</w:t>
            </w:r>
          </w:p>
        </w:tc>
        <w:tc>
          <w:tcPr>
            <w:tcW w:w="1091" w:type="dxa"/>
            <w:shd w:val="clear" w:color="auto" w:fill="auto"/>
            <w:vAlign w:val="center"/>
            <w:hideMark/>
          </w:tcPr>
          <w:p w14:paraId="5115ABF9"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14</w:t>
            </w:r>
          </w:p>
        </w:tc>
        <w:tc>
          <w:tcPr>
            <w:tcW w:w="1295" w:type="dxa"/>
            <w:shd w:val="clear" w:color="auto" w:fill="auto"/>
            <w:vAlign w:val="center"/>
            <w:hideMark/>
          </w:tcPr>
          <w:p w14:paraId="47735AAE"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26</w:t>
            </w:r>
          </w:p>
        </w:tc>
        <w:tc>
          <w:tcPr>
            <w:tcW w:w="1295" w:type="dxa"/>
            <w:shd w:val="clear" w:color="auto" w:fill="auto"/>
            <w:vAlign w:val="center"/>
            <w:hideMark/>
          </w:tcPr>
          <w:p w14:paraId="2F6A9C47"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28</w:t>
            </w:r>
          </w:p>
        </w:tc>
        <w:tc>
          <w:tcPr>
            <w:tcW w:w="1298" w:type="dxa"/>
            <w:shd w:val="clear" w:color="auto" w:fill="auto"/>
            <w:vAlign w:val="center"/>
            <w:hideMark/>
          </w:tcPr>
          <w:p w14:paraId="27FA2C2E"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27</w:t>
            </w:r>
          </w:p>
        </w:tc>
        <w:tc>
          <w:tcPr>
            <w:tcW w:w="1348" w:type="dxa"/>
            <w:tcBorders>
              <w:right w:val="single" w:sz="18" w:space="0" w:color="auto"/>
            </w:tcBorders>
            <w:shd w:val="clear" w:color="auto" w:fill="auto"/>
            <w:vAlign w:val="center"/>
            <w:hideMark/>
          </w:tcPr>
          <w:p w14:paraId="437DB920"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31</w:t>
            </w:r>
          </w:p>
        </w:tc>
      </w:tr>
      <w:tr w:rsidR="00C115FB" w:rsidRPr="00C115FB" w14:paraId="75E3D8BE" w14:textId="77777777" w:rsidTr="00936BFD">
        <w:trPr>
          <w:trHeight w:val="292"/>
        </w:trPr>
        <w:tc>
          <w:tcPr>
            <w:tcW w:w="1626" w:type="dxa"/>
            <w:tcBorders>
              <w:left w:val="single" w:sz="18" w:space="0" w:color="auto"/>
              <w:bottom w:val="single" w:sz="18" w:space="0" w:color="auto"/>
            </w:tcBorders>
            <w:shd w:val="clear" w:color="auto" w:fill="auto"/>
            <w:vAlign w:val="center"/>
            <w:hideMark/>
          </w:tcPr>
          <w:p w14:paraId="673F42A8" w14:textId="77777777" w:rsidR="00C115FB" w:rsidRPr="00C115FB" w:rsidRDefault="00C115FB" w:rsidP="00C115FB">
            <w:pPr>
              <w:spacing w:after="0"/>
              <w:rPr>
                <w:rFonts w:ascii="Bookman Old Style" w:hAnsi="Bookman Old Style" w:cs="Calibri"/>
                <w:b/>
                <w:bCs/>
                <w:color w:val="000000"/>
                <w:sz w:val="22"/>
                <w:szCs w:val="22"/>
                <w:lang w:eastAsia="en-GB"/>
              </w:rPr>
            </w:pPr>
            <w:r w:rsidRPr="00C115FB">
              <w:rPr>
                <w:rFonts w:ascii="Bookman Old Style" w:hAnsi="Bookman Old Style" w:cs="Calibri"/>
                <w:b/>
                <w:bCs/>
                <w:color w:val="000000"/>
                <w:sz w:val="22"/>
                <w:szCs w:val="22"/>
                <w:lang w:val="en-US" w:eastAsia="en-GB"/>
              </w:rPr>
              <w:t>Domestic (%)</w:t>
            </w:r>
          </w:p>
        </w:tc>
        <w:tc>
          <w:tcPr>
            <w:tcW w:w="1091" w:type="dxa"/>
            <w:tcBorders>
              <w:bottom w:val="single" w:sz="18" w:space="0" w:color="auto"/>
            </w:tcBorders>
            <w:shd w:val="clear" w:color="auto" w:fill="auto"/>
            <w:vAlign w:val="center"/>
            <w:hideMark/>
          </w:tcPr>
          <w:p w14:paraId="00ED1481"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22</w:t>
            </w:r>
          </w:p>
        </w:tc>
        <w:tc>
          <w:tcPr>
            <w:tcW w:w="1091" w:type="dxa"/>
            <w:tcBorders>
              <w:bottom w:val="single" w:sz="18" w:space="0" w:color="auto"/>
            </w:tcBorders>
            <w:shd w:val="clear" w:color="auto" w:fill="auto"/>
            <w:vAlign w:val="center"/>
            <w:hideMark/>
          </w:tcPr>
          <w:p w14:paraId="22385ACD"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16</w:t>
            </w:r>
          </w:p>
        </w:tc>
        <w:tc>
          <w:tcPr>
            <w:tcW w:w="1295" w:type="dxa"/>
            <w:tcBorders>
              <w:bottom w:val="single" w:sz="18" w:space="0" w:color="auto"/>
            </w:tcBorders>
            <w:shd w:val="clear" w:color="auto" w:fill="auto"/>
            <w:vAlign w:val="center"/>
            <w:hideMark/>
          </w:tcPr>
          <w:p w14:paraId="67003E51"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19</w:t>
            </w:r>
          </w:p>
        </w:tc>
        <w:tc>
          <w:tcPr>
            <w:tcW w:w="1295" w:type="dxa"/>
            <w:tcBorders>
              <w:bottom w:val="single" w:sz="18" w:space="0" w:color="auto"/>
            </w:tcBorders>
            <w:shd w:val="clear" w:color="auto" w:fill="auto"/>
            <w:vAlign w:val="center"/>
            <w:hideMark/>
          </w:tcPr>
          <w:p w14:paraId="0F639896"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20</w:t>
            </w:r>
          </w:p>
        </w:tc>
        <w:tc>
          <w:tcPr>
            <w:tcW w:w="1298" w:type="dxa"/>
            <w:tcBorders>
              <w:bottom w:val="single" w:sz="18" w:space="0" w:color="auto"/>
            </w:tcBorders>
            <w:shd w:val="clear" w:color="auto" w:fill="auto"/>
            <w:vAlign w:val="center"/>
            <w:hideMark/>
          </w:tcPr>
          <w:p w14:paraId="7AE1648B"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val="en-US" w:eastAsia="en-GB"/>
              </w:rPr>
              <w:t>21</w:t>
            </w:r>
          </w:p>
        </w:tc>
        <w:tc>
          <w:tcPr>
            <w:tcW w:w="1348" w:type="dxa"/>
            <w:tcBorders>
              <w:bottom w:val="single" w:sz="18" w:space="0" w:color="auto"/>
              <w:right w:val="single" w:sz="18" w:space="0" w:color="auto"/>
            </w:tcBorders>
            <w:shd w:val="clear" w:color="auto" w:fill="auto"/>
            <w:vAlign w:val="center"/>
            <w:hideMark/>
          </w:tcPr>
          <w:p w14:paraId="33DB0F39" w14:textId="77777777" w:rsidR="00C115FB" w:rsidRPr="00C115FB" w:rsidRDefault="00C115FB" w:rsidP="00C115FB">
            <w:pPr>
              <w:spacing w:after="0"/>
              <w:jc w:val="right"/>
              <w:rPr>
                <w:rFonts w:ascii="Bookman Old Style" w:hAnsi="Bookman Old Style" w:cs="Calibri"/>
                <w:color w:val="000000"/>
                <w:sz w:val="22"/>
                <w:szCs w:val="22"/>
                <w:lang w:eastAsia="en-GB"/>
              </w:rPr>
            </w:pPr>
            <w:r w:rsidRPr="00C115FB">
              <w:rPr>
                <w:rFonts w:ascii="Bookman Old Style" w:hAnsi="Bookman Old Style" w:cs="Calibri"/>
                <w:color w:val="000000"/>
                <w:sz w:val="22"/>
                <w:szCs w:val="22"/>
                <w:lang w:eastAsia="en-GB"/>
              </w:rPr>
              <w:t>28</w:t>
            </w:r>
          </w:p>
        </w:tc>
      </w:tr>
    </w:tbl>
    <w:p w14:paraId="05B5A126" w14:textId="704A625B" w:rsidR="003C2C4F" w:rsidRDefault="0042692A" w:rsidP="00343666">
      <w:pPr>
        <w:spacing w:before="240" w:line="360" w:lineRule="auto"/>
        <w:rPr>
          <w:rFonts w:ascii="Bookman Old Style" w:hAnsi="Bookman Old Style"/>
          <w:lang w:val="en-US"/>
        </w:rPr>
      </w:pPr>
      <w:r>
        <w:rPr>
          <w:rFonts w:ascii="Bookman Old Style" w:hAnsi="Bookman Old Style"/>
          <w:lang w:val="en-US"/>
        </w:rPr>
        <w:t>Source: MoF staff calculations.</w:t>
      </w:r>
    </w:p>
    <w:p w14:paraId="70AC38B0" w14:textId="77777777" w:rsidR="00807C0D" w:rsidRDefault="00807C0D" w:rsidP="00343666">
      <w:pPr>
        <w:spacing w:before="240" w:line="360" w:lineRule="auto"/>
        <w:rPr>
          <w:rFonts w:ascii="Bookman Old Style" w:hAnsi="Bookman Old Style"/>
          <w:lang w:val="en-US"/>
        </w:rPr>
      </w:pPr>
    </w:p>
    <w:p w14:paraId="4F66C73C" w14:textId="4120278E" w:rsidR="00713BC4" w:rsidRDefault="0021011A" w:rsidP="00807C0D">
      <w:pPr>
        <w:pStyle w:val="Heading2"/>
      </w:pPr>
      <w:bookmarkStart w:id="38" w:name="_Toc88660843"/>
      <w:r>
        <w:lastRenderedPageBreak/>
        <w:t xml:space="preserve">2.2 </w:t>
      </w:r>
      <w:r w:rsidRPr="00B70677">
        <w:t>Analysis</w:t>
      </w:r>
      <w:r>
        <w:t xml:space="preserve"> of Interest rates</w:t>
      </w:r>
      <w:bookmarkEnd w:id="38"/>
      <w:r w:rsidRPr="00D538C9">
        <w:t xml:space="preserve"> </w:t>
      </w:r>
    </w:p>
    <w:p w14:paraId="099A4383" w14:textId="77777777" w:rsidR="00807C0D" w:rsidRPr="00807C0D" w:rsidRDefault="00807C0D" w:rsidP="00807C0D"/>
    <w:p w14:paraId="2FC7AABA" w14:textId="7AFFCA5B" w:rsidR="0021011A" w:rsidRDefault="0021011A" w:rsidP="0021011A">
      <w:pPr>
        <w:spacing w:line="360" w:lineRule="auto"/>
        <w:rPr>
          <w:rFonts w:ascii="Bookman Old Style" w:hAnsi="Bookman Old Style"/>
        </w:rPr>
      </w:pPr>
      <w:r w:rsidRPr="008D216B">
        <w:rPr>
          <w:rFonts w:ascii="Bookman Old Style" w:hAnsi="Bookman Old Style"/>
        </w:rPr>
        <w:t xml:space="preserve">Loans and Debt securities in Malawi’s public debt portfolio are on fixed </w:t>
      </w:r>
      <w:r w:rsidR="00226F86">
        <w:rPr>
          <w:rFonts w:ascii="Bookman Old Style" w:hAnsi="Bookman Old Style"/>
        </w:rPr>
        <w:t xml:space="preserve">interest </w:t>
      </w:r>
      <w:r w:rsidRPr="008D216B">
        <w:rPr>
          <w:rFonts w:ascii="Bookman Old Style" w:hAnsi="Bookman Old Style"/>
        </w:rPr>
        <w:t xml:space="preserve">rates. However, </w:t>
      </w:r>
      <w:r>
        <w:rPr>
          <w:rFonts w:ascii="Bookman Old Style" w:hAnsi="Bookman Old Style"/>
        </w:rPr>
        <w:t>T</w:t>
      </w:r>
      <w:r w:rsidRPr="008D216B">
        <w:rPr>
          <w:rFonts w:ascii="Bookman Old Style" w:hAnsi="Bookman Old Style"/>
        </w:rPr>
        <w:t xml:space="preserve">reasury </w:t>
      </w:r>
      <w:r>
        <w:rPr>
          <w:rFonts w:ascii="Bookman Old Style" w:hAnsi="Bookman Old Style"/>
        </w:rPr>
        <w:t>B</w:t>
      </w:r>
      <w:r w:rsidRPr="008D216B">
        <w:rPr>
          <w:rFonts w:ascii="Bookman Old Style" w:hAnsi="Bookman Old Style"/>
        </w:rPr>
        <w:t xml:space="preserve">ills rates reset when rolled over. In terms of implied </w:t>
      </w:r>
      <w:r>
        <w:rPr>
          <w:rFonts w:ascii="Bookman Old Style" w:hAnsi="Bookman Old Style"/>
        </w:rPr>
        <w:t xml:space="preserve">interest </w:t>
      </w:r>
      <w:r w:rsidRPr="008D216B">
        <w:rPr>
          <w:rFonts w:ascii="Bookman Old Style" w:hAnsi="Bookman Old Style"/>
        </w:rPr>
        <w:t>rates, external lo</w:t>
      </w:r>
      <w:r w:rsidR="00DF0CA0">
        <w:rPr>
          <w:rFonts w:ascii="Bookman Old Style" w:hAnsi="Bookman Old Style"/>
        </w:rPr>
        <w:t>ans registered a maximum of 10.52</w:t>
      </w:r>
      <w:r w:rsidRPr="008D216B">
        <w:rPr>
          <w:rFonts w:ascii="Bookman Old Style" w:hAnsi="Bookman Old Style"/>
        </w:rPr>
        <w:t xml:space="preserve"> percent</w:t>
      </w:r>
      <w:r w:rsidR="003C2C4F">
        <w:rPr>
          <w:rFonts w:ascii="Bookman Old Style" w:hAnsi="Bookman Old Style"/>
        </w:rPr>
        <w:t xml:space="preserve">, due to uptake of </w:t>
      </w:r>
      <w:r w:rsidR="00E057CA">
        <w:rPr>
          <w:rFonts w:ascii="Bookman Old Style" w:hAnsi="Bookman Old Style"/>
        </w:rPr>
        <w:t xml:space="preserve">external </w:t>
      </w:r>
      <w:r w:rsidR="00534005">
        <w:rPr>
          <w:rFonts w:ascii="Bookman Old Style" w:hAnsi="Bookman Old Style"/>
        </w:rPr>
        <w:t>non-concessional loans</w:t>
      </w:r>
      <w:r w:rsidR="00226F86">
        <w:rPr>
          <w:rFonts w:ascii="Bookman Old Style" w:hAnsi="Bookman Old Style"/>
        </w:rPr>
        <w:t xml:space="preserve">. </w:t>
      </w:r>
      <w:r w:rsidR="00DF0CA0">
        <w:rPr>
          <w:rFonts w:ascii="Bookman Old Style" w:hAnsi="Bookman Old Style"/>
        </w:rPr>
        <w:t>While domestic securities averaged 10.73 percent</w:t>
      </w:r>
      <w:r w:rsidR="004B7EC8">
        <w:rPr>
          <w:rFonts w:ascii="Bookman Old Style" w:hAnsi="Bookman Old Style"/>
        </w:rPr>
        <w:t xml:space="preserve"> </w:t>
      </w:r>
      <w:r w:rsidR="003C2C4F">
        <w:rPr>
          <w:rFonts w:ascii="Bookman Old Style" w:hAnsi="Bookman Old Style"/>
        </w:rPr>
        <w:t>for Treasury</w:t>
      </w:r>
      <w:r w:rsidR="00DF0CA0">
        <w:rPr>
          <w:rFonts w:ascii="Bookman Old Style" w:hAnsi="Bookman Old Style"/>
        </w:rPr>
        <w:t xml:space="preserve"> Bills and </w:t>
      </w:r>
      <w:r w:rsidR="003C2C4F">
        <w:rPr>
          <w:rFonts w:ascii="Bookman Old Style" w:hAnsi="Bookman Old Style"/>
        </w:rPr>
        <w:t>15.32 percent for Treasury-Notes.</w:t>
      </w:r>
    </w:p>
    <w:p w14:paraId="4FE9EBB8" w14:textId="77777777" w:rsidR="00226F86" w:rsidRPr="004A3A54" w:rsidRDefault="00226F86" w:rsidP="00226F86">
      <w:pPr>
        <w:spacing w:after="0" w:line="360" w:lineRule="auto"/>
        <w:rPr>
          <w:rFonts w:ascii="Bookman Old Style" w:hAnsi="Bookman Old Style"/>
        </w:rPr>
      </w:pPr>
    </w:p>
    <w:p w14:paraId="19ED5F9D" w14:textId="17407FC5" w:rsidR="0021011A" w:rsidRPr="00B80999" w:rsidRDefault="00B80999" w:rsidP="00B80999">
      <w:pPr>
        <w:pStyle w:val="Caption"/>
        <w:keepNext/>
        <w:jc w:val="both"/>
        <w:rPr>
          <w:rFonts w:ascii="Bookman Old Style" w:hAnsi="Bookman Old Style"/>
          <w:sz w:val="24"/>
          <w:szCs w:val="24"/>
        </w:rPr>
      </w:pPr>
      <w:bookmarkStart w:id="39" w:name="_Toc88660888"/>
      <w:r w:rsidRPr="00B80999">
        <w:rPr>
          <w:rFonts w:ascii="Bookman Old Style" w:hAnsi="Bookman Old Style"/>
          <w:sz w:val="24"/>
          <w:szCs w:val="24"/>
        </w:rPr>
        <w:t xml:space="preserve">Table </w:t>
      </w:r>
      <w:r w:rsidRPr="00B80999">
        <w:rPr>
          <w:rFonts w:ascii="Bookman Old Style" w:hAnsi="Bookman Old Style"/>
          <w:sz w:val="24"/>
          <w:szCs w:val="24"/>
        </w:rPr>
        <w:fldChar w:fldCharType="begin"/>
      </w:r>
      <w:r w:rsidRPr="00B80999">
        <w:rPr>
          <w:rFonts w:ascii="Bookman Old Style" w:hAnsi="Bookman Old Style"/>
          <w:sz w:val="24"/>
          <w:szCs w:val="24"/>
        </w:rPr>
        <w:instrText xml:space="preserve"> SEQ Table \* ARABIC </w:instrText>
      </w:r>
      <w:r w:rsidRPr="00B80999">
        <w:rPr>
          <w:rFonts w:ascii="Bookman Old Style" w:hAnsi="Bookman Old Style"/>
          <w:sz w:val="24"/>
          <w:szCs w:val="24"/>
        </w:rPr>
        <w:fldChar w:fldCharType="separate"/>
      </w:r>
      <w:r w:rsidR="00924FE2">
        <w:rPr>
          <w:rFonts w:ascii="Bookman Old Style" w:hAnsi="Bookman Old Style"/>
          <w:noProof/>
          <w:sz w:val="24"/>
          <w:szCs w:val="24"/>
        </w:rPr>
        <w:t>2</w:t>
      </w:r>
      <w:r w:rsidRPr="00B80999">
        <w:rPr>
          <w:rFonts w:ascii="Bookman Old Style" w:hAnsi="Bookman Old Style"/>
          <w:sz w:val="24"/>
          <w:szCs w:val="24"/>
        </w:rPr>
        <w:fldChar w:fldCharType="end"/>
      </w:r>
      <w:r w:rsidRPr="00B80999">
        <w:rPr>
          <w:rFonts w:ascii="Bookman Old Style" w:hAnsi="Bookman Old Style"/>
          <w:sz w:val="24"/>
          <w:szCs w:val="24"/>
        </w:rPr>
        <w:t>: Implied Interest Rates</w:t>
      </w:r>
      <w:bookmarkEnd w:id="39"/>
    </w:p>
    <w:tbl>
      <w:tblPr>
        <w:tblW w:w="9120" w:type="dxa"/>
        <w:tblLook w:val="04A0" w:firstRow="1" w:lastRow="0" w:firstColumn="1" w:lastColumn="0" w:noHBand="0" w:noVBand="1"/>
      </w:tblPr>
      <w:tblGrid>
        <w:gridCol w:w="3999"/>
        <w:gridCol w:w="1707"/>
        <w:gridCol w:w="1664"/>
        <w:gridCol w:w="1750"/>
      </w:tblGrid>
      <w:tr w:rsidR="0021011A" w:rsidRPr="00082237" w14:paraId="63035AEC" w14:textId="77777777" w:rsidTr="00990BB5">
        <w:trPr>
          <w:trHeight w:val="1000"/>
        </w:trPr>
        <w:tc>
          <w:tcPr>
            <w:tcW w:w="3999" w:type="dxa"/>
            <w:tcBorders>
              <w:top w:val="single" w:sz="18" w:space="0" w:color="auto"/>
              <w:left w:val="single" w:sz="18" w:space="0" w:color="auto"/>
              <w:bottom w:val="single" w:sz="18" w:space="0" w:color="auto"/>
            </w:tcBorders>
            <w:shd w:val="clear" w:color="auto" w:fill="B3D5AB" w:themeFill="accent4" w:themeFillTint="66"/>
            <w:noWrap/>
            <w:vAlign w:val="center"/>
            <w:hideMark/>
          </w:tcPr>
          <w:p w14:paraId="4279CCCC" w14:textId="51D5121A" w:rsidR="0021011A" w:rsidRPr="004C2087" w:rsidRDefault="00DF0CA0" w:rsidP="004C2087">
            <w:pPr>
              <w:spacing w:after="0"/>
              <w:rPr>
                <w:rFonts w:ascii="Bookman Old Style" w:hAnsi="Bookman Old Style" w:cs="Calibri"/>
                <w:b/>
                <w:bCs/>
                <w:color w:val="000000"/>
                <w:sz w:val="22"/>
                <w:szCs w:val="22"/>
                <w:lang w:val="en-US" w:eastAsia="en-GB"/>
              </w:rPr>
            </w:pPr>
            <w:r w:rsidRPr="004C2087">
              <w:rPr>
                <w:rFonts w:ascii="Bookman Old Style" w:hAnsi="Bookman Old Style" w:cs="Calibri"/>
                <w:b/>
                <w:bCs/>
                <w:color w:val="000000"/>
                <w:sz w:val="22"/>
                <w:szCs w:val="22"/>
                <w:lang w:val="en-US" w:eastAsia="en-GB"/>
              </w:rPr>
              <w:t>External Loan</w:t>
            </w:r>
          </w:p>
        </w:tc>
        <w:tc>
          <w:tcPr>
            <w:tcW w:w="1707" w:type="dxa"/>
            <w:tcBorders>
              <w:top w:val="single" w:sz="18" w:space="0" w:color="auto"/>
              <w:bottom w:val="single" w:sz="18" w:space="0" w:color="auto"/>
            </w:tcBorders>
            <w:shd w:val="clear" w:color="auto" w:fill="B3D5AB" w:themeFill="accent4" w:themeFillTint="66"/>
            <w:vAlign w:val="center"/>
            <w:hideMark/>
          </w:tcPr>
          <w:p w14:paraId="55B281E1" w14:textId="340C9F2C" w:rsidR="0021011A" w:rsidRPr="004C2087" w:rsidRDefault="0021011A" w:rsidP="004C2087">
            <w:pPr>
              <w:spacing w:after="0"/>
              <w:rPr>
                <w:rFonts w:ascii="Bookman Old Style" w:hAnsi="Bookman Old Style" w:cs="Calibri"/>
                <w:b/>
                <w:bCs/>
                <w:color w:val="000000"/>
                <w:sz w:val="22"/>
                <w:szCs w:val="22"/>
                <w:lang w:val="en-US" w:eastAsia="en-GB"/>
              </w:rPr>
            </w:pPr>
            <w:r w:rsidRPr="004C2087">
              <w:rPr>
                <w:rFonts w:ascii="Bookman Old Style" w:hAnsi="Bookman Old Style" w:cs="Calibri"/>
                <w:b/>
                <w:bCs/>
                <w:color w:val="000000"/>
                <w:sz w:val="22"/>
                <w:szCs w:val="22"/>
                <w:lang w:val="en-US" w:eastAsia="en-GB"/>
              </w:rPr>
              <w:t>Implied Interest rate</w:t>
            </w:r>
            <w:r w:rsidR="0034373F" w:rsidRPr="004C2087">
              <w:rPr>
                <w:rFonts w:ascii="Bookman Old Style" w:hAnsi="Bookman Old Style" w:cs="Calibri"/>
                <w:b/>
                <w:bCs/>
                <w:color w:val="000000"/>
                <w:sz w:val="22"/>
                <w:szCs w:val="22"/>
                <w:lang w:val="en-US" w:eastAsia="en-GB"/>
              </w:rPr>
              <w:t xml:space="preserve"> (%)</w:t>
            </w:r>
          </w:p>
        </w:tc>
        <w:tc>
          <w:tcPr>
            <w:tcW w:w="1664" w:type="dxa"/>
            <w:tcBorders>
              <w:top w:val="single" w:sz="18" w:space="0" w:color="auto"/>
              <w:bottom w:val="single" w:sz="18" w:space="0" w:color="auto"/>
            </w:tcBorders>
            <w:shd w:val="clear" w:color="auto" w:fill="B3D5AB" w:themeFill="accent4" w:themeFillTint="66"/>
            <w:noWrap/>
            <w:vAlign w:val="center"/>
            <w:hideMark/>
          </w:tcPr>
          <w:p w14:paraId="3C2D716D" w14:textId="77777777" w:rsidR="0021011A" w:rsidRPr="004C2087" w:rsidRDefault="0021011A" w:rsidP="004C2087">
            <w:pPr>
              <w:spacing w:after="0"/>
              <w:rPr>
                <w:rFonts w:ascii="Bookman Old Style" w:hAnsi="Bookman Old Style" w:cs="Calibri"/>
                <w:b/>
                <w:bCs/>
                <w:color w:val="000000"/>
                <w:sz w:val="22"/>
                <w:szCs w:val="22"/>
                <w:lang w:val="en-US" w:eastAsia="en-GB"/>
              </w:rPr>
            </w:pPr>
            <w:r w:rsidRPr="004C2087">
              <w:rPr>
                <w:rFonts w:ascii="Bookman Old Style" w:hAnsi="Bookman Old Style" w:cs="Calibri"/>
                <w:b/>
                <w:bCs/>
                <w:color w:val="000000"/>
                <w:sz w:val="22"/>
                <w:szCs w:val="22"/>
                <w:lang w:val="en-US" w:eastAsia="en-GB"/>
              </w:rPr>
              <w:t>Securities</w:t>
            </w:r>
          </w:p>
        </w:tc>
        <w:tc>
          <w:tcPr>
            <w:tcW w:w="1750" w:type="dxa"/>
            <w:tcBorders>
              <w:top w:val="single" w:sz="18" w:space="0" w:color="auto"/>
              <w:bottom w:val="single" w:sz="18" w:space="0" w:color="auto"/>
              <w:right w:val="single" w:sz="18" w:space="0" w:color="auto"/>
            </w:tcBorders>
            <w:shd w:val="clear" w:color="auto" w:fill="B3D5AB" w:themeFill="accent4" w:themeFillTint="66"/>
            <w:vAlign w:val="center"/>
            <w:hideMark/>
          </w:tcPr>
          <w:p w14:paraId="09B5ED18" w14:textId="77777777" w:rsidR="0021011A" w:rsidRPr="004C2087" w:rsidRDefault="0021011A" w:rsidP="004C2087">
            <w:pPr>
              <w:spacing w:after="0"/>
              <w:rPr>
                <w:rFonts w:ascii="Bookman Old Style" w:hAnsi="Bookman Old Style" w:cs="Calibri"/>
                <w:b/>
                <w:bCs/>
                <w:color w:val="000000"/>
                <w:sz w:val="22"/>
                <w:szCs w:val="22"/>
                <w:lang w:val="en-US" w:eastAsia="en-GB"/>
              </w:rPr>
            </w:pPr>
            <w:r w:rsidRPr="004C2087">
              <w:rPr>
                <w:rFonts w:ascii="Bookman Old Style" w:hAnsi="Bookman Old Style" w:cs="Calibri"/>
                <w:b/>
                <w:bCs/>
                <w:color w:val="000000"/>
                <w:sz w:val="22"/>
                <w:szCs w:val="22"/>
                <w:lang w:val="en-US" w:eastAsia="en-GB"/>
              </w:rPr>
              <w:t>Implied Interest rate</w:t>
            </w:r>
          </w:p>
          <w:p w14:paraId="36653086" w14:textId="7096A04E" w:rsidR="00DF0CA0" w:rsidRPr="004C2087" w:rsidRDefault="00DF0CA0" w:rsidP="004C2087">
            <w:pPr>
              <w:spacing w:after="0"/>
              <w:rPr>
                <w:rFonts w:ascii="Bookman Old Style" w:hAnsi="Bookman Old Style" w:cs="Calibri"/>
                <w:b/>
                <w:bCs/>
                <w:color w:val="000000"/>
                <w:sz w:val="22"/>
                <w:szCs w:val="22"/>
                <w:lang w:val="en-US" w:eastAsia="en-GB"/>
              </w:rPr>
            </w:pPr>
            <w:r w:rsidRPr="004C2087">
              <w:rPr>
                <w:rFonts w:ascii="Bookman Old Style" w:hAnsi="Bookman Old Style" w:cs="Calibri"/>
                <w:b/>
                <w:bCs/>
                <w:color w:val="000000"/>
                <w:sz w:val="22"/>
                <w:szCs w:val="22"/>
                <w:lang w:val="en-US" w:eastAsia="en-GB"/>
              </w:rPr>
              <w:t>(%)</w:t>
            </w:r>
          </w:p>
        </w:tc>
      </w:tr>
      <w:tr w:rsidR="0021011A" w:rsidRPr="00082237" w14:paraId="711DA23C" w14:textId="77777777" w:rsidTr="00990BB5">
        <w:trPr>
          <w:trHeight w:val="336"/>
        </w:trPr>
        <w:tc>
          <w:tcPr>
            <w:tcW w:w="3999" w:type="dxa"/>
            <w:tcBorders>
              <w:top w:val="single" w:sz="18" w:space="0" w:color="auto"/>
              <w:left w:val="single" w:sz="18" w:space="0" w:color="auto"/>
            </w:tcBorders>
            <w:shd w:val="clear" w:color="auto" w:fill="auto"/>
            <w:noWrap/>
            <w:vAlign w:val="center"/>
            <w:hideMark/>
          </w:tcPr>
          <w:p w14:paraId="12C3EC33" w14:textId="77777777" w:rsidR="0021011A" w:rsidRPr="00082237" w:rsidRDefault="0021011A" w:rsidP="004D7A01">
            <w:pPr>
              <w:rPr>
                <w:rFonts w:ascii="Bookman Old Style" w:hAnsi="Bookman Old Style"/>
                <w:color w:val="000000"/>
                <w:sz w:val="22"/>
                <w:szCs w:val="22"/>
                <w:lang w:eastAsia="en-GB"/>
              </w:rPr>
            </w:pPr>
            <w:r w:rsidRPr="00082237">
              <w:rPr>
                <w:rFonts w:ascii="Bookman Old Style" w:hAnsi="Bookman Old Style"/>
                <w:color w:val="000000"/>
                <w:sz w:val="22"/>
                <w:szCs w:val="22"/>
                <w:lang w:val="en-US" w:eastAsia="en-GB"/>
              </w:rPr>
              <w:t>Existing and New ADF/ IDA</w:t>
            </w:r>
          </w:p>
        </w:tc>
        <w:tc>
          <w:tcPr>
            <w:tcW w:w="1707" w:type="dxa"/>
            <w:tcBorders>
              <w:top w:val="single" w:sz="18" w:space="0" w:color="auto"/>
            </w:tcBorders>
            <w:shd w:val="clear" w:color="auto" w:fill="auto"/>
            <w:noWrap/>
            <w:vAlign w:val="center"/>
            <w:hideMark/>
          </w:tcPr>
          <w:p w14:paraId="0149198D" w14:textId="0A2BA30B" w:rsidR="0021011A" w:rsidRPr="00082237" w:rsidRDefault="0034373F" w:rsidP="004D7A01">
            <w:pPr>
              <w:jc w:val="right"/>
              <w:rPr>
                <w:rFonts w:ascii="Bookman Old Style" w:hAnsi="Bookman Old Style"/>
                <w:color w:val="000000"/>
                <w:sz w:val="22"/>
                <w:szCs w:val="22"/>
                <w:lang w:eastAsia="en-GB"/>
              </w:rPr>
            </w:pPr>
            <w:r>
              <w:rPr>
                <w:rFonts w:ascii="Bookman Old Style" w:hAnsi="Bookman Old Style"/>
                <w:color w:val="000000"/>
                <w:sz w:val="22"/>
                <w:szCs w:val="22"/>
                <w:lang w:val="en-US" w:eastAsia="en-GB"/>
              </w:rPr>
              <w:t>0.73</w:t>
            </w:r>
          </w:p>
        </w:tc>
        <w:tc>
          <w:tcPr>
            <w:tcW w:w="1664" w:type="dxa"/>
            <w:tcBorders>
              <w:top w:val="single" w:sz="18" w:space="0" w:color="auto"/>
            </w:tcBorders>
            <w:shd w:val="clear" w:color="auto" w:fill="auto"/>
            <w:noWrap/>
            <w:vAlign w:val="center"/>
            <w:hideMark/>
          </w:tcPr>
          <w:p w14:paraId="6C65F276" w14:textId="77777777" w:rsidR="0021011A" w:rsidRPr="00082237" w:rsidRDefault="0021011A" w:rsidP="004D7A01">
            <w:pPr>
              <w:rPr>
                <w:rFonts w:ascii="Bookman Old Style" w:hAnsi="Bookman Old Style"/>
                <w:color w:val="000000"/>
                <w:sz w:val="22"/>
                <w:szCs w:val="22"/>
                <w:lang w:eastAsia="en-GB"/>
              </w:rPr>
            </w:pPr>
            <w:r w:rsidRPr="00082237">
              <w:rPr>
                <w:rFonts w:ascii="Bookman Old Style" w:hAnsi="Bookman Old Style"/>
                <w:color w:val="000000"/>
                <w:sz w:val="22"/>
                <w:szCs w:val="22"/>
                <w:lang w:val="en-US" w:eastAsia="en-GB"/>
              </w:rPr>
              <w:t>T-bills</w:t>
            </w:r>
          </w:p>
        </w:tc>
        <w:tc>
          <w:tcPr>
            <w:tcW w:w="1750" w:type="dxa"/>
            <w:tcBorders>
              <w:top w:val="single" w:sz="18" w:space="0" w:color="auto"/>
              <w:right w:val="single" w:sz="18" w:space="0" w:color="auto"/>
            </w:tcBorders>
            <w:shd w:val="clear" w:color="auto" w:fill="auto"/>
            <w:noWrap/>
            <w:vAlign w:val="center"/>
            <w:hideMark/>
          </w:tcPr>
          <w:p w14:paraId="1E139A92" w14:textId="6C97B089" w:rsidR="0021011A" w:rsidRPr="00082237" w:rsidRDefault="0034373F" w:rsidP="004D7A01">
            <w:pPr>
              <w:jc w:val="right"/>
              <w:rPr>
                <w:rFonts w:ascii="Bookman Old Style" w:hAnsi="Bookman Old Style"/>
                <w:color w:val="000000"/>
                <w:sz w:val="22"/>
                <w:szCs w:val="22"/>
                <w:lang w:eastAsia="en-GB"/>
              </w:rPr>
            </w:pPr>
            <w:r>
              <w:rPr>
                <w:rFonts w:ascii="Bookman Old Style" w:hAnsi="Bookman Old Style"/>
                <w:color w:val="000000"/>
                <w:sz w:val="22"/>
                <w:szCs w:val="22"/>
                <w:lang w:val="en-US" w:eastAsia="en-GB"/>
              </w:rPr>
              <w:t>10.73</w:t>
            </w:r>
          </w:p>
        </w:tc>
      </w:tr>
      <w:tr w:rsidR="0021011A" w:rsidRPr="00082237" w14:paraId="59FF20AA" w14:textId="77777777" w:rsidTr="00551FA8">
        <w:trPr>
          <w:trHeight w:val="336"/>
        </w:trPr>
        <w:tc>
          <w:tcPr>
            <w:tcW w:w="3999" w:type="dxa"/>
            <w:tcBorders>
              <w:left w:val="single" w:sz="18" w:space="0" w:color="auto"/>
            </w:tcBorders>
            <w:shd w:val="clear" w:color="auto" w:fill="auto"/>
            <w:noWrap/>
            <w:vAlign w:val="center"/>
            <w:hideMark/>
          </w:tcPr>
          <w:p w14:paraId="18E5D7C7" w14:textId="77777777" w:rsidR="0021011A" w:rsidRPr="00082237" w:rsidRDefault="0021011A" w:rsidP="004D7A01">
            <w:pPr>
              <w:rPr>
                <w:rFonts w:ascii="Bookman Old Style" w:hAnsi="Bookman Old Style"/>
                <w:color w:val="000000"/>
                <w:sz w:val="22"/>
                <w:szCs w:val="22"/>
                <w:lang w:eastAsia="en-GB"/>
              </w:rPr>
            </w:pPr>
            <w:r w:rsidRPr="00082237">
              <w:rPr>
                <w:rFonts w:ascii="Bookman Old Style" w:hAnsi="Bookman Old Style"/>
                <w:color w:val="000000"/>
                <w:sz w:val="22"/>
                <w:szCs w:val="22"/>
                <w:lang w:val="en-US" w:eastAsia="en-GB"/>
              </w:rPr>
              <w:t>Concessional-Others</w:t>
            </w:r>
          </w:p>
        </w:tc>
        <w:tc>
          <w:tcPr>
            <w:tcW w:w="1707" w:type="dxa"/>
            <w:shd w:val="clear" w:color="auto" w:fill="auto"/>
            <w:noWrap/>
            <w:vAlign w:val="center"/>
            <w:hideMark/>
          </w:tcPr>
          <w:p w14:paraId="4493AA0F" w14:textId="0803DA38" w:rsidR="0021011A" w:rsidRPr="00082237" w:rsidRDefault="0034373F" w:rsidP="004D7A01">
            <w:pPr>
              <w:jc w:val="right"/>
              <w:rPr>
                <w:rFonts w:ascii="Bookman Old Style" w:hAnsi="Bookman Old Style"/>
                <w:color w:val="000000"/>
                <w:sz w:val="22"/>
                <w:szCs w:val="22"/>
                <w:lang w:eastAsia="en-GB"/>
              </w:rPr>
            </w:pPr>
            <w:r>
              <w:rPr>
                <w:rFonts w:ascii="Bookman Old Style" w:hAnsi="Bookman Old Style"/>
                <w:color w:val="000000"/>
                <w:sz w:val="22"/>
                <w:szCs w:val="22"/>
                <w:lang w:val="en-US" w:eastAsia="en-GB"/>
              </w:rPr>
              <w:t>1.22</w:t>
            </w:r>
          </w:p>
        </w:tc>
        <w:tc>
          <w:tcPr>
            <w:tcW w:w="1664" w:type="dxa"/>
            <w:shd w:val="clear" w:color="auto" w:fill="auto"/>
            <w:noWrap/>
            <w:vAlign w:val="center"/>
            <w:hideMark/>
          </w:tcPr>
          <w:p w14:paraId="6FEFE733" w14:textId="07F88168" w:rsidR="0021011A" w:rsidRPr="00082237" w:rsidRDefault="0021011A" w:rsidP="004D7A01">
            <w:pPr>
              <w:rPr>
                <w:rFonts w:ascii="Bookman Old Style" w:hAnsi="Bookman Old Style"/>
                <w:color w:val="000000"/>
                <w:sz w:val="22"/>
                <w:szCs w:val="22"/>
                <w:lang w:eastAsia="en-GB"/>
              </w:rPr>
            </w:pPr>
            <w:r w:rsidRPr="00082237">
              <w:rPr>
                <w:rFonts w:ascii="Bookman Old Style" w:hAnsi="Bookman Old Style"/>
                <w:color w:val="000000"/>
                <w:sz w:val="22"/>
                <w:szCs w:val="22"/>
                <w:lang w:eastAsia="en-GB"/>
              </w:rPr>
              <w:t>T</w:t>
            </w:r>
            <w:r w:rsidR="0034373F">
              <w:rPr>
                <w:rFonts w:ascii="Bookman Old Style" w:hAnsi="Bookman Old Style"/>
                <w:color w:val="000000"/>
                <w:sz w:val="22"/>
                <w:szCs w:val="22"/>
                <w:lang w:eastAsia="en-GB"/>
              </w:rPr>
              <w:t>-</w:t>
            </w:r>
            <w:r w:rsidRPr="00082237">
              <w:rPr>
                <w:rFonts w:ascii="Bookman Old Style" w:hAnsi="Bookman Old Style"/>
                <w:color w:val="000000"/>
                <w:sz w:val="22"/>
                <w:szCs w:val="22"/>
                <w:lang w:eastAsia="en-GB"/>
              </w:rPr>
              <w:t>N</w:t>
            </w:r>
            <w:r w:rsidR="0034373F">
              <w:rPr>
                <w:rFonts w:ascii="Bookman Old Style" w:hAnsi="Bookman Old Style"/>
                <w:color w:val="000000"/>
                <w:sz w:val="22"/>
                <w:szCs w:val="22"/>
                <w:lang w:eastAsia="en-GB"/>
              </w:rPr>
              <w:t>otes</w:t>
            </w:r>
          </w:p>
        </w:tc>
        <w:tc>
          <w:tcPr>
            <w:tcW w:w="1750" w:type="dxa"/>
            <w:tcBorders>
              <w:right w:val="single" w:sz="18" w:space="0" w:color="auto"/>
            </w:tcBorders>
            <w:shd w:val="clear" w:color="auto" w:fill="auto"/>
            <w:noWrap/>
            <w:vAlign w:val="center"/>
            <w:hideMark/>
          </w:tcPr>
          <w:p w14:paraId="618582FD" w14:textId="118D0FCD" w:rsidR="0021011A" w:rsidRPr="00082237" w:rsidRDefault="0034373F" w:rsidP="004D7A01">
            <w:pPr>
              <w:jc w:val="right"/>
              <w:rPr>
                <w:rFonts w:ascii="Bookman Old Style" w:hAnsi="Bookman Old Style"/>
                <w:color w:val="000000"/>
                <w:sz w:val="22"/>
                <w:szCs w:val="22"/>
                <w:lang w:eastAsia="en-GB"/>
              </w:rPr>
            </w:pPr>
            <w:r>
              <w:rPr>
                <w:rFonts w:ascii="Bookman Old Style" w:hAnsi="Bookman Old Style"/>
                <w:color w:val="000000"/>
                <w:sz w:val="22"/>
                <w:szCs w:val="22"/>
                <w:lang w:val="en-US" w:eastAsia="en-GB"/>
              </w:rPr>
              <w:t>15.32</w:t>
            </w:r>
          </w:p>
        </w:tc>
      </w:tr>
      <w:tr w:rsidR="0021011A" w:rsidRPr="00082237" w14:paraId="736BAA3A" w14:textId="77777777" w:rsidTr="00551FA8">
        <w:trPr>
          <w:trHeight w:val="336"/>
        </w:trPr>
        <w:tc>
          <w:tcPr>
            <w:tcW w:w="3999" w:type="dxa"/>
            <w:tcBorders>
              <w:left w:val="single" w:sz="18" w:space="0" w:color="auto"/>
            </w:tcBorders>
            <w:shd w:val="clear" w:color="auto" w:fill="auto"/>
            <w:noWrap/>
            <w:vAlign w:val="center"/>
            <w:hideMark/>
          </w:tcPr>
          <w:p w14:paraId="2B950428" w14:textId="77777777" w:rsidR="0021011A" w:rsidRPr="00082237" w:rsidRDefault="0021011A" w:rsidP="004D7A01">
            <w:pPr>
              <w:rPr>
                <w:rFonts w:ascii="Bookman Old Style" w:hAnsi="Bookman Old Style"/>
                <w:color w:val="000000"/>
                <w:sz w:val="22"/>
                <w:szCs w:val="22"/>
                <w:lang w:eastAsia="en-GB"/>
              </w:rPr>
            </w:pPr>
            <w:r w:rsidRPr="00082237">
              <w:rPr>
                <w:rFonts w:ascii="Bookman Old Style" w:hAnsi="Bookman Old Style"/>
                <w:color w:val="000000"/>
                <w:sz w:val="22"/>
                <w:szCs w:val="22"/>
                <w:lang w:val="en-US" w:eastAsia="en-GB"/>
              </w:rPr>
              <w:t>Semi-concessional (USD)</w:t>
            </w:r>
          </w:p>
        </w:tc>
        <w:tc>
          <w:tcPr>
            <w:tcW w:w="1707" w:type="dxa"/>
            <w:shd w:val="clear" w:color="auto" w:fill="auto"/>
            <w:noWrap/>
            <w:vAlign w:val="center"/>
            <w:hideMark/>
          </w:tcPr>
          <w:p w14:paraId="0ECD49AD" w14:textId="2AB2AE11" w:rsidR="0021011A" w:rsidRPr="00082237" w:rsidRDefault="0034373F" w:rsidP="004D7A01">
            <w:pPr>
              <w:jc w:val="right"/>
              <w:rPr>
                <w:rFonts w:ascii="Bookman Old Style" w:hAnsi="Bookman Old Style"/>
                <w:color w:val="000000"/>
                <w:sz w:val="22"/>
                <w:szCs w:val="22"/>
                <w:lang w:eastAsia="en-GB"/>
              </w:rPr>
            </w:pPr>
            <w:r>
              <w:rPr>
                <w:rFonts w:ascii="Bookman Old Style" w:hAnsi="Bookman Old Style"/>
                <w:color w:val="000000"/>
                <w:sz w:val="22"/>
                <w:szCs w:val="22"/>
                <w:lang w:val="en-US" w:eastAsia="en-GB"/>
              </w:rPr>
              <w:t>2.89</w:t>
            </w:r>
          </w:p>
        </w:tc>
        <w:tc>
          <w:tcPr>
            <w:tcW w:w="1664" w:type="dxa"/>
            <w:shd w:val="clear" w:color="auto" w:fill="auto"/>
            <w:noWrap/>
            <w:vAlign w:val="center"/>
          </w:tcPr>
          <w:p w14:paraId="74902ED6" w14:textId="56654686" w:rsidR="0021011A" w:rsidRPr="00082237" w:rsidRDefault="0021011A" w:rsidP="004D7A01">
            <w:pPr>
              <w:rPr>
                <w:rFonts w:ascii="Bookman Old Style" w:hAnsi="Bookman Old Style"/>
                <w:color w:val="000000"/>
                <w:sz w:val="22"/>
                <w:szCs w:val="22"/>
                <w:lang w:eastAsia="en-GB"/>
              </w:rPr>
            </w:pPr>
          </w:p>
        </w:tc>
        <w:tc>
          <w:tcPr>
            <w:tcW w:w="1750" w:type="dxa"/>
            <w:tcBorders>
              <w:right w:val="single" w:sz="18" w:space="0" w:color="auto"/>
            </w:tcBorders>
            <w:shd w:val="clear" w:color="auto" w:fill="auto"/>
            <w:noWrap/>
            <w:vAlign w:val="center"/>
          </w:tcPr>
          <w:p w14:paraId="5A61C266" w14:textId="7D919DF2" w:rsidR="0021011A" w:rsidRPr="00082237" w:rsidRDefault="0021011A" w:rsidP="004D7A01">
            <w:pPr>
              <w:jc w:val="right"/>
              <w:rPr>
                <w:rFonts w:ascii="Bookman Old Style" w:hAnsi="Bookman Old Style"/>
                <w:color w:val="000000"/>
                <w:sz w:val="22"/>
                <w:szCs w:val="22"/>
                <w:lang w:eastAsia="en-GB"/>
              </w:rPr>
            </w:pPr>
          </w:p>
        </w:tc>
      </w:tr>
      <w:tr w:rsidR="0021011A" w:rsidRPr="00082237" w14:paraId="5EF4E65B" w14:textId="77777777" w:rsidTr="00551FA8">
        <w:trPr>
          <w:trHeight w:val="336"/>
        </w:trPr>
        <w:tc>
          <w:tcPr>
            <w:tcW w:w="3999" w:type="dxa"/>
            <w:tcBorders>
              <w:left w:val="single" w:sz="18" w:space="0" w:color="auto"/>
            </w:tcBorders>
            <w:shd w:val="clear" w:color="auto" w:fill="auto"/>
            <w:noWrap/>
            <w:vAlign w:val="center"/>
            <w:hideMark/>
          </w:tcPr>
          <w:p w14:paraId="046E77D9" w14:textId="77777777" w:rsidR="0021011A" w:rsidRPr="00082237" w:rsidRDefault="0021011A" w:rsidP="004D7A01">
            <w:pPr>
              <w:rPr>
                <w:rFonts w:ascii="Bookman Old Style" w:hAnsi="Bookman Old Style"/>
                <w:color w:val="000000"/>
                <w:sz w:val="22"/>
                <w:szCs w:val="22"/>
                <w:lang w:eastAsia="en-GB"/>
              </w:rPr>
            </w:pPr>
            <w:r w:rsidRPr="00082237">
              <w:rPr>
                <w:rFonts w:ascii="Bookman Old Style" w:hAnsi="Bookman Old Style"/>
                <w:color w:val="000000"/>
                <w:sz w:val="22"/>
                <w:szCs w:val="22"/>
                <w:lang w:val="en-US" w:eastAsia="en-GB"/>
              </w:rPr>
              <w:t>Semi-concessional (CNY)</w:t>
            </w:r>
          </w:p>
        </w:tc>
        <w:tc>
          <w:tcPr>
            <w:tcW w:w="1707" w:type="dxa"/>
            <w:shd w:val="clear" w:color="auto" w:fill="auto"/>
            <w:noWrap/>
            <w:vAlign w:val="center"/>
            <w:hideMark/>
          </w:tcPr>
          <w:p w14:paraId="1CF86E37" w14:textId="5D06D86E" w:rsidR="0021011A" w:rsidRPr="00082237" w:rsidRDefault="0034373F" w:rsidP="004D7A01">
            <w:pPr>
              <w:jc w:val="right"/>
              <w:rPr>
                <w:rFonts w:ascii="Bookman Old Style" w:hAnsi="Bookman Old Style"/>
                <w:color w:val="000000"/>
                <w:sz w:val="22"/>
                <w:szCs w:val="22"/>
                <w:lang w:eastAsia="en-GB"/>
              </w:rPr>
            </w:pPr>
            <w:r>
              <w:rPr>
                <w:rFonts w:ascii="Bookman Old Style" w:hAnsi="Bookman Old Style"/>
                <w:color w:val="000000"/>
                <w:sz w:val="22"/>
                <w:szCs w:val="22"/>
                <w:lang w:val="en-US" w:eastAsia="en-GB"/>
              </w:rPr>
              <w:t>1.81</w:t>
            </w:r>
          </w:p>
        </w:tc>
        <w:tc>
          <w:tcPr>
            <w:tcW w:w="1664" w:type="dxa"/>
            <w:shd w:val="clear" w:color="auto" w:fill="auto"/>
            <w:noWrap/>
            <w:vAlign w:val="center"/>
          </w:tcPr>
          <w:p w14:paraId="01A8F82B" w14:textId="2C7DB8EC" w:rsidR="0021011A" w:rsidRPr="00082237" w:rsidRDefault="0021011A" w:rsidP="004D7A01">
            <w:pPr>
              <w:rPr>
                <w:rFonts w:ascii="Bookman Old Style" w:hAnsi="Bookman Old Style"/>
                <w:color w:val="000000"/>
                <w:sz w:val="22"/>
                <w:szCs w:val="22"/>
                <w:lang w:eastAsia="en-GB"/>
              </w:rPr>
            </w:pPr>
          </w:p>
        </w:tc>
        <w:tc>
          <w:tcPr>
            <w:tcW w:w="1750" w:type="dxa"/>
            <w:tcBorders>
              <w:right w:val="single" w:sz="18" w:space="0" w:color="auto"/>
            </w:tcBorders>
            <w:shd w:val="clear" w:color="auto" w:fill="auto"/>
            <w:noWrap/>
            <w:vAlign w:val="center"/>
          </w:tcPr>
          <w:p w14:paraId="4A454856" w14:textId="064F5508" w:rsidR="0021011A" w:rsidRPr="00082237" w:rsidRDefault="0021011A" w:rsidP="004D7A01">
            <w:pPr>
              <w:jc w:val="right"/>
              <w:rPr>
                <w:rFonts w:ascii="Bookman Old Style" w:hAnsi="Bookman Old Style"/>
                <w:color w:val="000000"/>
                <w:sz w:val="22"/>
                <w:szCs w:val="22"/>
                <w:lang w:eastAsia="en-GB"/>
              </w:rPr>
            </w:pPr>
          </w:p>
        </w:tc>
      </w:tr>
      <w:tr w:rsidR="0021011A" w:rsidRPr="00082237" w14:paraId="5AC7085A" w14:textId="77777777" w:rsidTr="00551FA8">
        <w:trPr>
          <w:trHeight w:val="290"/>
        </w:trPr>
        <w:tc>
          <w:tcPr>
            <w:tcW w:w="3999" w:type="dxa"/>
            <w:tcBorders>
              <w:left w:val="single" w:sz="18" w:space="0" w:color="auto"/>
              <w:bottom w:val="single" w:sz="18" w:space="0" w:color="auto"/>
            </w:tcBorders>
            <w:shd w:val="clear" w:color="auto" w:fill="auto"/>
            <w:noWrap/>
            <w:vAlign w:val="center"/>
          </w:tcPr>
          <w:p w14:paraId="74361190" w14:textId="4D840F8F" w:rsidR="0021011A" w:rsidRPr="00082237" w:rsidRDefault="0034373F" w:rsidP="004D7A01">
            <w:pPr>
              <w:rPr>
                <w:rFonts w:ascii="Bookman Old Style" w:hAnsi="Bookman Old Style"/>
                <w:color w:val="000000"/>
                <w:sz w:val="22"/>
                <w:szCs w:val="22"/>
                <w:lang w:eastAsia="en-GB"/>
              </w:rPr>
            </w:pPr>
            <w:r>
              <w:rPr>
                <w:rFonts w:ascii="Bookman Old Style" w:hAnsi="Bookman Old Style"/>
                <w:color w:val="000000"/>
                <w:sz w:val="22"/>
                <w:szCs w:val="22"/>
                <w:lang w:eastAsia="en-GB"/>
              </w:rPr>
              <w:t>Non-Concessional</w:t>
            </w:r>
          </w:p>
        </w:tc>
        <w:tc>
          <w:tcPr>
            <w:tcW w:w="1707" w:type="dxa"/>
            <w:tcBorders>
              <w:bottom w:val="single" w:sz="18" w:space="0" w:color="auto"/>
            </w:tcBorders>
            <w:shd w:val="clear" w:color="auto" w:fill="auto"/>
            <w:noWrap/>
            <w:vAlign w:val="center"/>
          </w:tcPr>
          <w:p w14:paraId="594CBFB7" w14:textId="48D2BCBD" w:rsidR="0021011A" w:rsidRPr="00082237" w:rsidRDefault="0034373F" w:rsidP="004D7A01">
            <w:pPr>
              <w:jc w:val="right"/>
              <w:rPr>
                <w:rFonts w:ascii="Bookman Old Style" w:hAnsi="Bookman Old Style"/>
                <w:color w:val="000000"/>
                <w:sz w:val="22"/>
                <w:szCs w:val="22"/>
                <w:lang w:eastAsia="en-GB"/>
              </w:rPr>
            </w:pPr>
            <w:r>
              <w:rPr>
                <w:rFonts w:ascii="Bookman Old Style" w:hAnsi="Bookman Old Style"/>
                <w:color w:val="000000"/>
                <w:sz w:val="22"/>
                <w:szCs w:val="22"/>
                <w:lang w:eastAsia="en-GB"/>
              </w:rPr>
              <w:t>10.52</w:t>
            </w:r>
          </w:p>
        </w:tc>
        <w:tc>
          <w:tcPr>
            <w:tcW w:w="1664" w:type="dxa"/>
            <w:tcBorders>
              <w:bottom w:val="single" w:sz="18" w:space="0" w:color="auto"/>
            </w:tcBorders>
            <w:shd w:val="clear" w:color="auto" w:fill="auto"/>
            <w:noWrap/>
            <w:vAlign w:val="center"/>
          </w:tcPr>
          <w:p w14:paraId="7063B9CD" w14:textId="29D19DEC" w:rsidR="0021011A" w:rsidRPr="00082237" w:rsidRDefault="0021011A" w:rsidP="004D7A01">
            <w:pPr>
              <w:rPr>
                <w:rFonts w:ascii="Bookman Old Style" w:hAnsi="Bookman Old Style"/>
                <w:color w:val="000000"/>
                <w:sz w:val="22"/>
                <w:szCs w:val="22"/>
                <w:lang w:eastAsia="en-GB"/>
              </w:rPr>
            </w:pPr>
          </w:p>
        </w:tc>
        <w:tc>
          <w:tcPr>
            <w:tcW w:w="1750" w:type="dxa"/>
            <w:tcBorders>
              <w:bottom w:val="single" w:sz="18" w:space="0" w:color="auto"/>
              <w:right w:val="single" w:sz="18" w:space="0" w:color="auto"/>
            </w:tcBorders>
            <w:shd w:val="clear" w:color="auto" w:fill="auto"/>
            <w:noWrap/>
            <w:vAlign w:val="center"/>
          </w:tcPr>
          <w:p w14:paraId="3CDBE402" w14:textId="6E2C053B" w:rsidR="0021011A" w:rsidRPr="00082237" w:rsidRDefault="0021011A" w:rsidP="004D7A01">
            <w:pPr>
              <w:jc w:val="right"/>
              <w:rPr>
                <w:rFonts w:ascii="Bookman Old Style" w:hAnsi="Bookman Old Style"/>
                <w:color w:val="000000"/>
                <w:sz w:val="22"/>
                <w:szCs w:val="22"/>
                <w:lang w:eastAsia="en-GB"/>
              </w:rPr>
            </w:pPr>
          </w:p>
        </w:tc>
      </w:tr>
    </w:tbl>
    <w:p w14:paraId="65166CD3" w14:textId="5339754E" w:rsidR="0021011A" w:rsidRDefault="0021011A" w:rsidP="00343666">
      <w:pPr>
        <w:spacing w:before="240" w:line="360" w:lineRule="auto"/>
        <w:rPr>
          <w:rFonts w:ascii="Bookman Old Style" w:hAnsi="Bookman Old Style"/>
          <w:lang w:val="en-US"/>
        </w:rPr>
      </w:pPr>
      <w:r>
        <w:rPr>
          <w:rFonts w:ascii="Bookman Old Style" w:hAnsi="Bookman Old Style"/>
          <w:lang w:val="en-US"/>
        </w:rPr>
        <w:t>Source:</w:t>
      </w:r>
      <w:r w:rsidR="0042692A">
        <w:rPr>
          <w:rFonts w:ascii="Bookman Old Style" w:hAnsi="Bookman Old Style"/>
          <w:lang w:val="en-US"/>
        </w:rPr>
        <w:t xml:space="preserve"> MoF staff</w:t>
      </w:r>
      <w:r w:rsidR="00087CF8">
        <w:rPr>
          <w:rFonts w:ascii="Bookman Old Style" w:hAnsi="Bookman Old Style"/>
          <w:lang w:val="en-US"/>
        </w:rPr>
        <w:t xml:space="preserve"> calculations.</w:t>
      </w:r>
    </w:p>
    <w:p w14:paraId="5B790D8D" w14:textId="5D72C79F" w:rsidR="00087CF8" w:rsidRDefault="00087CF8" w:rsidP="00087CF8">
      <w:pPr>
        <w:pStyle w:val="Heading2"/>
      </w:pPr>
      <w:bookmarkStart w:id="40" w:name="_Toc88660844"/>
      <w:bookmarkStart w:id="41" w:name="_Toc318292729"/>
      <w:r>
        <w:t>2.3 Treasury Securities Yield Curve</w:t>
      </w:r>
      <w:bookmarkEnd w:id="40"/>
      <w:r w:rsidRPr="00D538C9">
        <w:t xml:space="preserve"> </w:t>
      </w:r>
    </w:p>
    <w:p w14:paraId="621D4A4C" w14:textId="01EF38DC" w:rsidR="00E057CA" w:rsidRDefault="00E057CA" w:rsidP="00597DD3">
      <w:pPr>
        <w:spacing w:line="360" w:lineRule="auto"/>
        <w:rPr>
          <w:rFonts w:ascii="Bookman Old Style" w:hAnsi="Bookman Old Style"/>
          <w:b/>
        </w:rPr>
      </w:pPr>
    </w:p>
    <w:p w14:paraId="341BA7E1" w14:textId="77777777" w:rsidR="00807C0D" w:rsidRDefault="00597DD3" w:rsidP="00597DD3">
      <w:pPr>
        <w:spacing w:line="360" w:lineRule="auto"/>
        <w:rPr>
          <w:rFonts w:ascii="Bookman Old Style" w:hAnsi="Bookman Old Style"/>
        </w:rPr>
      </w:pPr>
      <w:r>
        <w:rPr>
          <w:rFonts w:ascii="Bookman Old Style" w:hAnsi="Bookman Old Style"/>
        </w:rPr>
        <w:t xml:space="preserve">Overall, yields on Treasury </w:t>
      </w:r>
      <w:r w:rsidR="00226F86">
        <w:rPr>
          <w:rFonts w:ascii="Bookman Old Style" w:hAnsi="Bookman Old Style"/>
        </w:rPr>
        <w:t>securities on</w:t>
      </w:r>
      <w:r w:rsidR="00D965E9">
        <w:rPr>
          <w:rFonts w:ascii="Bookman Old Style" w:hAnsi="Bookman Old Style"/>
        </w:rPr>
        <w:t xml:space="preserve"> the primary </w:t>
      </w:r>
      <w:r w:rsidR="00087CF8">
        <w:rPr>
          <w:rFonts w:ascii="Bookman Old Style" w:hAnsi="Bookman Old Style"/>
        </w:rPr>
        <w:t>market shifted upwards. Specifically, shorter</w:t>
      </w:r>
      <w:r w:rsidR="00F364D9">
        <w:rPr>
          <w:rFonts w:ascii="Bookman Old Style" w:hAnsi="Bookman Old Style"/>
        </w:rPr>
        <w:t>-dated to medium-</w:t>
      </w:r>
      <w:r w:rsidR="00931A96">
        <w:rPr>
          <w:rFonts w:ascii="Bookman Old Style" w:hAnsi="Bookman Old Style"/>
        </w:rPr>
        <w:t>dated yields</w:t>
      </w:r>
      <w:r>
        <w:rPr>
          <w:rFonts w:ascii="Bookman Old Style" w:hAnsi="Bookman Old Style"/>
        </w:rPr>
        <w:t xml:space="preserve"> </w:t>
      </w:r>
      <w:r w:rsidR="00087CF8">
        <w:rPr>
          <w:rFonts w:ascii="Bookman Old Style" w:hAnsi="Bookman Old Style"/>
        </w:rPr>
        <w:t xml:space="preserve">became steeper </w:t>
      </w:r>
      <w:r w:rsidR="00931A96">
        <w:rPr>
          <w:rFonts w:ascii="Bookman Old Style" w:hAnsi="Bookman Old Style"/>
        </w:rPr>
        <w:t>whilst yields on long-term papers relatively remained the same in the period under review</w:t>
      </w:r>
      <w:r>
        <w:rPr>
          <w:rFonts w:ascii="Bookman Old Style" w:hAnsi="Bookman Old Style"/>
        </w:rPr>
        <w:t>.</w:t>
      </w:r>
      <w:r w:rsidR="00931A96">
        <w:rPr>
          <w:rFonts w:ascii="Bookman Old Style" w:hAnsi="Bookman Old Style"/>
        </w:rPr>
        <w:t xml:space="preserve"> </w:t>
      </w:r>
      <w:r w:rsidR="00A31BF2">
        <w:rPr>
          <w:rFonts w:ascii="Bookman Old Style" w:hAnsi="Bookman Old Style"/>
        </w:rPr>
        <w:t xml:space="preserve">Under Treasury </w:t>
      </w:r>
      <w:r w:rsidR="00394AAA">
        <w:rPr>
          <w:rFonts w:ascii="Bookman Old Style" w:hAnsi="Bookman Old Style"/>
        </w:rPr>
        <w:t>Bills,</w:t>
      </w:r>
      <w:r w:rsidR="00A31BF2">
        <w:rPr>
          <w:rFonts w:ascii="Bookman Old Style" w:hAnsi="Bookman Old Style"/>
        </w:rPr>
        <w:t xml:space="preserve"> the biggest increase was recorded for the 91-day T</w:t>
      </w:r>
      <w:r w:rsidR="002C2C1E">
        <w:rPr>
          <w:rFonts w:ascii="Bookman Old Style" w:hAnsi="Bookman Old Style"/>
        </w:rPr>
        <w:t>reasury Bill</w:t>
      </w:r>
      <w:r w:rsidR="00394AAA">
        <w:rPr>
          <w:rFonts w:ascii="Bookman Old Style" w:hAnsi="Bookman Old Style"/>
        </w:rPr>
        <w:t xml:space="preserve"> which increased by 245</w:t>
      </w:r>
      <w:r w:rsidR="00A31BF2">
        <w:rPr>
          <w:rFonts w:ascii="Bookman Old Style" w:hAnsi="Bookman Old Style"/>
        </w:rPr>
        <w:t xml:space="preserve"> </w:t>
      </w:r>
      <w:r w:rsidR="00394AAA">
        <w:rPr>
          <w:rFonts w:ascii="Bookman Old Style" w:hAnsi="Bookman Old Style"/>
        </w:rPr>
        <w:t>basis points</w:t>
      </w:r>
      <w:r w:rsidR="00D50867">
        <w:rPr>
          <w:rFonts w:ascii="Bookman Old Style" w:hAnsi="Bookman Old Style"/>
        </w:rPr>
        <w:t xml:space="preserve"> from June</w:t>
      </w:r>
      <w:r w:rsidR="00A31BF2">
        <w:rPr>
          <w:rFonts w:ascii="Bookman Old Style" w:hAnsi="Bookman Old Style"/>
        </w:rPr>
        <w:t xml:space="preserve"> 2020. While the 364-day te</w:t>
      </w:r>
      <w:r w:rsidR="002C2C1E">
        <w:rPr>
          <w:rFonts w:ascii="Bookman Old Style" w:hAnsi="Bookman Old Style"/>
        </w:rPr>
        <w:t>nor saw</w:t>
      </w:r>
      <w:r w:rsidR="001F4F80">
        <w:rPr>
          <w:rFonts w:ascii="Bookman Old Style" w:hAnsi="Bookman Old Style"/>
        </w:rPr>
        <w:t xml:space="preserve"> a marginal increase of 31</w:t>
      </w:r>
      <w:r w:rsidR="00A31BF2">
        <w:rPr>
          <w:rFonts w:ascii="Bookman Old Style" w:hAnsi="Bookman Old Style"/>
        </w:rPr>
        <w:t xml:space="preserve"> basis points.  For Treasury Notes, the biggest leap</w:t>
      </w:r>
      <w:r w:rsidR="002C2C1E">
        <w:rPr>
          <w:rFonts w:ascii="Bookman Old Style" w:hAnsi="Bookman Old Style"/>
        </w:rPr>
        <w:t xml:space="preserve"> was under the 3</w:t>
      </w:r>
      <w:r w:rsidR="00F364D9">
        <w:rPr>
          <w:rFonts w:ascii="Bookman Old Style" w:hAnsi="Bookman Old Style"/>
        </w:rPr>
        <w:t>-year</w:t>
      </w:r>
      <w:r w:rsidR="002C2C1E">
        <w:rPr>
          <w:rFonts w:ascii="Bookman Old Style" w:hAnsi="Bookman Old Style"/>
        </w:rPr>
        <w:t xml:space="preserve"> tenor</w:t>
      </w:r>
      <w:r w:rsidR="001F4F80">
        <w:rPr>
          <w:rFonts w:ascii="Bookman Old Style" w:hAnsi="Bookman Old Style"/>
        </w:rPr>
        <w:t xml:space="preserve"> at 205 </w:t>
      </w:r>
      <w:r w:rsidR="00F364D9">
        <w:rPr>
          <w:rFonts w:ascii="Bookman Old Style" w:hAnsi="Bookman Old Style"/>
        </w:rPr>
        <w:t>basis</w:t>
      </w:r>
      <w:r w:rsidR="00713BC4">
        <w:rPr>
          <w:rFonts w:ascii="Bookman Old Style" w:hAnsi="Bookman Old Style"/>
        </w:rPr>
        <w:t xml:space="preserve"> point</w:t>
      </w:r>
      <w:r w:rsidR="001F4F80">
        <w:rPr>
          <w:rFonts w:ascii="Bookman Old Style" w:hAnsi="Bookman Old Style"/>
        </w:rPr>
        <w:t xml:space="preserve"> increase</w:t>
      </w:r>
      <w:r w:rsidR="00A31BF2">
        <w:rPr>
          <w:rFonts w:ascii="Bookman Old Style" w:hAnsi="Bookman Old Style"/>
        </w:rPr>
        <w:t>.</w:t>
      </w:r>
      <w:r w:rsidR="001744B9">
        <w:rPr>
          <w:rFonts w:ascii="Bookman Old Style" w:hAnsi="Bookman Old Style"/>
        </w:rPr>
        <w:t xml:space="preserve"> </w:t>
      </w:r>
    </w:p>
    <w:p w14:paraId="66D62F18" w14:textId="77777777" w:rsidR="00807C0D" w:rsidRDefault="00807C0D" w:rsidP="00597DD3">
      <w:pPr>
        <w:spacing w:line="360" w:lineRule="auto"/>
        <w:rPr>
          <w:rFonts w:ascii="Bookman Old Style" w:hAnsi="Bookman Old Style"/>
        </w:rPr>
      </w:pPr>
    </w:p>
    <w:p w14:paraId="16C6DC6B" w14:textId="1A631981" w:rsidR="00597DD3" w:rsidRPr="00B70677" w:rsidRDefault="00931A96" w:rsidP="00597DD3">
      <w:pPr>
        <w:spacing w:line="360" w:lineRule="auto"/>
        <w:rPr>
          <w:rFonts w:ascii="Bookman Old Style" w:hAnsi="Bookman Old Style"/>
        </w:rPr>
      </w:pPr>
      <w:r>
        <w:rPr>
          <w:rFonts w:ascii="Bookman Old Style" w:hAnsi="Bookman Old Style"/>
        </w:rPr>
        <w:t xml:space="preserve">The increase in yields reflected </w:t>
      </w:r>
      <w:r w:rsidR="00694373">
        <w:rPr>
          <w:rFonts w:ascii="Bookman Old Style" w:hAnsi="Bookman Old Style"/>
        </w:rPr>
        <w:t xml:space="preserve">increase in inflation, ongoing </w:t>
      </w:r>
      <w:r>
        <w:rPr>
          <w:rFonts w:ascii="Bookman Old Style" w:hAnsi="Bookman Old Style"/>
        </w:rPr>
        <w:t xml:space="preserve">risks associated with </w:t>
      </w:r>
      <w:r w:rsidR="00694373">
        <w:rPr>
          <w:rFonts w:ascii="Bookman Old Style" w:hAnsi="Bookman Old Style"/>
        </w:rPr>
        <w:t xml:space="preserve">the </w:t>
      </w:r>
      <w:r>
        <w:rPr>
          <w:rFonts w:ascii="Bookman Old Style" w:hAnsi="Bookman Old Style"/>
        </w:rPr>
        <w:t>COVID-19 pandemic</w:t>
      </w:r>
      <w:r w:rsidR="00694373">
        <w:rPr>
          <w:rFonts w:ascii="Bookman Old Style" w:hAnsi="Bookman Old Style"/>
        </w:rPr>
        <w:t xml:space="preserve">, </w:t>
      </w:r>
      <w:r>
        <w:rPr>
          <w:rFonts w:ascii="Bookman Old Style" w:hAnsi="Bookman Old Style"/>
        </w:rPr>
        <w:t>and</w:t>
      </w:r>
      <w:r w:rsidR="002C2C1E">
        <w:rPr>
          <w:rFonts w:ascii="Bookman Old Style" w:hAnsi="Bookman Old Style"/>
        </w:rPr>
        <w:t xml:space="preserve"> the resultant</w:t>
      </w:r>
      <w:r>
        <w:rPr>
          <w:rFonts w:ascii="Bookman Old Style" w:hAnsi="Bookman Old Style"/>
        </w:rPr>
        <w:t xml:space="preserve"> high fiscal</w:t>
      </w:r>
      <w:r w:rsidR="00D50867">
        <w:rPr>
          <w:rFonts w:ascii="Bookman Old Style" w:hAnsi="Bookman Old Style"/>
        </w:rPr>
        <w:t xml:space="preserve"> financing</w:t>
      </w:r>
      <w:r>
        <w:rPr>
          <w:rFonts w:ascii="Bookman Old Style" w:hAnsi="Bookman Old Style"/>
        </w:rPr>
        <w:t xml:space="preserve"> needs.</w:t>
      </w:r>
    </w:p>
    <w:p w14:paraId="6602BCF3" w14:textId="697DF4A1" w:rsidR="0021011A" w:rsidRDefault="0021011A" w:rsidP="0021011A">
      <w:pPr>
        <w:spacing w:line="360" w:lineRule="auto"/>
        <w:rPr>
          <w:rFonts w:ascii="Bookman Old Style" w:hAnsi="Bookman Old Style"/>
        </w:rPr>
      </w:pPr>
    </w:p>
    <w:p w14:paraId="201EBAE1" w14:textId="403141C4" w:rsidR="00A71ECB" w:rsidRDefault="00A71ECB" w:rsidP="0021011A">
      <w:pPr>
        <w:spacing w:line="360" w:lineRule="auto"/>
        <w:rPr>
          <w:rFonts w:ascii="Bookman Old Style" w:hAnsi="Bookman Old Style"/>
        </w:rPr>
      </w:pPr>
    </w:p>
    <w:p w14:paraId="744A32DE" w14:textId="7D88A524" w:rsidR="00226F86" w:rsidRPr="00B70677" w:rsidRDefault="00226F86" w:rsidP="0021011A">
      <w:pPr>
        <w:spacing w:line="360" w:lineRule="auto"/>
        <w:rPr>
          <w:rFonts w:ascii="Bookman Old Style" w:hAnsi="Bookman Old Style"/>
        </w:rPr>
      </w:pPr>
    </w:p>
    <w:p w14:paraId="33B4978F" w14:textId="78C17E05" w:rsidR="00733533" w:rsidRPr="00D60510" w:rsidRDefault="00D60510" w:rsidP="00D60510">
      <w:pPr>
        <w:pStyle w:val="Caption"/>
        <w:rPr>
          <w:rFonts w:ascii="Bookman Old Style" w:hAnsi="Bookman Old Style"/>
          <w:sz w:val="24"/>
          <w:szCs w:val="24"/>
        </w:rPr>
      </w:pPr>
      <w:bookmarkStart w:id="42" w:name="_Toc87373888"/>
      <w:bookmarkStart w:id="43" w:name="_Toc88660950"/>
      <w:r w:rsidRPr="00D60510">
        <w:rPr>
          <w:rFonts w:ascii="Bookman Old Style" w:hAnsi="Bookman Old Style"/>
          <w:sz w:val="24"/>
          <w:szCs w:val="24"/>
        </w:rPr>
        <w:lastRenderedPageBreak/>
        <w:t xml:space="preserve">Figure </w:t>
      </w:r>
      <w:r w:rsidRPr="00D60510">
        <w:rPr>
          <w:rFonts w:ascii="Bookman Old Style" w:hAnsi="Bookman Old Style"/>
          <w:sz w:val="24"/>
          <w:szCs w:val="24"/>
        </w:rPr>
        <w:fldChar w:fldCharType="begin"/>
      </w:r>
      <w:r w:rsidRPr="00D60510">
        <w:rPr>
          <w:rFonts w:ascii="Bookman Old Style" w:hAnsi="Bookman Old Style"/>
          <w:sz w:val="24"/>
          <w:szCs w:val="24"/>
        </w:rPr>
        <w:instrText xml:space="preserve"> SEQ Figure \* ARABIC </w:instrText>
      </w:r>
      <w:r w:rsidRPr="00D60510">
        <w:rPr>
          <w:rFonts w:ascii="Bookman Old Style" w:hAnsi="Bookman Old Style"/>
          <w:sz w:val="24"/>
          <w:szCs w:val="24"/>
        </w:rPr>
        <w:fldChar w:fldCharType="separate"/>
      </w:r>
      <w:r w:rsidR="00924FE2">
        <w:rPr>
          <w:rFonts w:ascii="Bookman Old Style" w:hAnsi="Bookman Old Style"/>
          <w:noProof/>
          <w:sz w:val="24"/>
          <w:szCs w:val="24"/>
        </w:rPr>
        <w:t>4</w:t>
      </w:r>
      <w:r w:rsidRPr="00D60510">
        <w:rPr>
          <w:rFonts w:ascii="Bookman Old Style" w:hAnsi="Bookman Old Style"/>
          <w:sz w:val="24"/>
          <w:szCs w:val="24"/>
        </w:rPr>
        <w:fldChar w:fldCharType="end"/>
      </w:r>
      <w:r w:rsidRPr="00D60510">
        <w:rPr>
          <w:rFonts w:ascii="Bookman Old Style" w:hAnsi="Bookman Old Style"/>
          <w:sz w:val="24"/>
          <w:szCs w:val="24"/>
        </w:rPr>
        <w:t>: Domestic Yield Curve for June 2020 and 2021</w:t>
      </w:r>
      <w:bookmarkEnd w:id="42"/>
      <w:bookmarkEnd w:id="43"/>
    </w:p>
    <w:p w14:paraId="5D435CB5" w14:textId="3F21B61C" w:rsidR="00733533" w:rsidRDefault="00394AAA" w:rsidP="0022132C">
      <w:pPr>
        <w:spacing w:after="0" w:line="360" w:lineRule="auto"/>
        <w:rPr>
          <w:rFonts w:ascii="Bookman Old Style" w:hAnsi="Bookman Old Style"/>
          <w:b/>
        </w:rPr>
      </w:pPr>
      <w:r w:rsidRPr="00494485">
        <w:rPr>
          <w:rFonts w:ascii="Bookman Old Style" w:hAnsi="Bookman Old Style"/>
          <w:noProof/>
          <w:u w:val="single"/>
          <w:lang w:eastAsia="en-GB"/>
        </w:rPr>
        <w:drawing>
          <wp:inline distT="0" distB="0" distL="0" distR="0" wp14:anchorId="0B542239" wp14:editId="2F575FB6">
            <wp:extent cx="5608320" cy="2217302"/>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653369" w14:textId="18F29F46" w:rsidR="0021011A" w:rsidRPr="00343666" w:rsidRDefault="0021011A" w:rsidP="0022132C">
      <w:pPr>
        <w:spacing w:after="0"/>
        <w:rPr>
          <w:rFonts w:ascii="Bookman Old Style" w:hAnsi="Bookman Old Style"/>
        </w:rPr>
      </w:pPr>
      <w:r w:rsidRPr="00343666">
        <w:rPr>
          <w:rFonts w:ascii="Bookman Old Style" w:hAnsi="Bookman Old Style"/>
        </w:rPr>
        <w:t>Source:</w:t>
      </w:r>
      <w:r w:rsidR="00A71ECB" w:rsidRPr="00343666">
        <w:rPr>
          <w:rFonts w:ascii="Bookman Old Style" w:hAnsi="Bookman Old Style"/>
        </w:rPr>
        <w:t xml:space="preserve"> </w:t>
      </w:r>
      <w:r w:rsidR="0042692A" w:rsidRPr="00343666">
        <w:rPr>
          <w:rFonts w:ascii="Bookman Old Style" w:hAnsi="Bookman Old Style"/>
        </w:rPr>
        <w:t>MoF staff calculations based on RBM data.</w:t>
      </w:r>
    </w:p>
    <w:p w14:paraId="030EAA9F" w14:textId="77777777" w:rsidR="00FE3518" w:rsidRDefault="00FE3518" w:rsidP="0022132C">
      <w:pPr>
        <w:spacing w:after="0" w:line="360" w:lineRule="auto"/>
        <w:rPr>
          <w:rFonts w:ascii="Bookman Old Style" w:hAnsi="Bookman Old Style"/>
          <w:b/>
        </w:rPr>
      </w:pPr>
    </w:p>
    <w:p w14:paraId="078B1E92" w14:textId="78C02D60" w:rsidR="00093544" w:rsidRDefault="00093544" w:rsidP="0021011A">
      <w:pPr>
        <w:spacing w:line="360" w:lineRule="auto"/>
        <w:rPr>
          <w:rFonts w:ascii="Bookman Old Style" w:hAnsi="Bookman Old Style"/>
          <w:b/>
        </w:rPr>
      </w:pPr>
    </w:p>
    <w:p w14:paraId="1E4BCF05" w14:textId="46794E2B" w:rsidR="00A16F8E" w:rsidRDefault="00424209" w:rsidP="00A16F8E">
      <w:pPr>
        <w:pStyle w:val="Heading2"/>
      </w:pPr>
      <w:bookmarkStart w:id="44" w:name="_Toc88660845"/>
      <w:r>
        <w:t>2.4 Debt</w:t>
      </w:r>
      <w:r w:rsidR="00A16F8E">
        <w:t xml:space="preserve"> Flows</w:t>
      </w:r>
      <w:bookmarkEnd w:id="44"/>
      <w:r w:rsidR="00A16F8E">
        <w:t xml:space="preserve"> </w:t>
      </w:r>
      <w:r w:rsidR="00A16F8E" w:rsidRPr="00D538C9">
        <w:t xml:space="preserve"> </w:t>
      </w:r>
    </w:p>
    <w:p w14:paraId="39922E6F" w14:textId="2FF92E59" w:rsidR="00A16F8E" w:rsidRDefault="00A16F8E" w:rsidP="00424209">
      <w:pPr>
        <w:tabs>
          <w:tab w:val="left" w:pos="2136"/>
        </w:tabs>
        <w:spacing w:line="360" w:lineRule="auto"/>
        <w:rPr>
          <w:rFonts w:ascii="Bookman Old Style" w:hAnsi="Bookman Old Style"/>
        </w:rPr>
      </w:pPr>
    </w:p>
    <w:p w14:paraId="380C2D72" w14:textId="1BD38D64" w:rsidR="00A16F8E" w:rsidRDefault="00A16F8E" w:rsidP="00A16F8E">
      <w:pPr>
        <w:spacing w:line="360" w:lineRule="auto"/>
        <w:rPr>
          <w:rFonts w:ascii="Bookman Old Style" w:hAnsi="Bookman Old Style"/>
        </w:rPr>
      </w:pPr>
      <w:r w:rsidRPr="0084462F">
        <w:rPr>
          <w:rFonts w:ascii="Bookman Old Style" w:hAnsi="Bookman Old Style"/>
        </w:rPr>
        <w:t>Without payments to the</w:t>
      </w:r>
      <w:r w:rsidR="00D50867">
        <w:rPr>
          <w:rFonts w:ascii="Bookman Old Style" w:hAnsi="Bookman Old Style"/>
        </w:rPr>
        <w:t xml:space="preserve"> International Monetary Fund</w:t>
      </w:r>
      <w:r w:rsidRPr="0084462F">
        <w:rPr>
          <w:rFonts w:ascii="Bookman Old Style" w:hAnsi="Bookman Old Style"/>
        </w:rPr>
        <w:t xml:space="preserve"> </w:t>
      </w:r>
      <w:r w:rsidR="00D50867">
        <w:rPr>
          <w:rFonts w:ascii="Bookman Old Style" w:hAnsi="Bookman Old Style"/>
        </w:rPr>
        <w:t>(</w:t>
      </w:r>
      <w:r w:rsidRPr="0084462F">
        <w:rPr>
          <w:rFonts w:ascii="Bookman Old Style" w:hAnsi="Bookman Old Style"/>
        </w:rPr>
        <w:t>IMF</w:t>
      </w:r>
      <w:r w:rsidR="00D50867">
        <w:rPr>
          <w:rFonts w:ascii="Bookman Old Style" w:hAnsi="Bookman Old Style"/>
        </w:rPr>
        <w:t>)</w:t>
      </w:r>
      <w:r w:rsidRPr="0084462F">
        <w:rPr>
          <w:rFonts w:ascii="Bookman Old Style" w:hAnsi="Bookman Old Style"/>
        </w:rPr>
        <w:t>, amortisation</w:t>
      </w:r>
      <w:r>
        <w:rPr>
          <w:rFonts w:ascii="Bookman Old Style" w:hAnsi="Bookman Old Style"/>
        </w:rPr>
        <w:t xml:space="preserve"> under External Debt</w:t>
      </w:r>
      <w:r w:rsidRPr="0084462F">
        <w:rPr>
          <w:rFonts w:ascii="Bookman Old Style" w:hAnsi="Bookman Old Style"/>
        </w:rPr>
        <w:t xml:space="preserve"> amounted to MK42.4 billion</w:t>
      </w:r>
      <w:r w:rsidR="00D50867">
        <w:rPr>
          <w:rFonts w:ascii="Bookman Old Style" w:hAnsi="Bookman Old Style"/>
        </w:rPr>
        <w:t>, with</w:t>
      </w:r>
      <w:r w:rsidRPr="0084462F">
        <w:rPr>
          <w:rFonts w:ascii="Bookman Old Style" w:hAnsi="Bookman Old Style"/>
        </w:rPr>
        <w:t xml:space="preserve"> interest payment of MK16.8 bill</w:t>
      </w:r>
      <w:r w:rsidR="00936BFD">
        <w:rPr>
          <w:rFonts w:ascii="Bookman Old Style" w:hAnsi="Bookman Old Style"/>
        </w:rPr>
        <w:t>ion. Compared</w:t>
      </w:r>
      <w:r w:rsidRPr="0084462F">
        <w:rPr>
          <w:rFonts w:ascii="Bookman Old Style" w:hAnsi="Bookman Old Style"/>
        </w:rPr>
        <w:t xml:space="preserve"> to the approved budget, amortisation was within the approved budget of M</w:t>
      </w:r>
      <w:r w:rsidR="00936BFD">
        <w:rPr>
          <w:rFonts w:ascii="Bookman Old Style" w:hAnsi="Bookman Old Style"/>
        </w:rPr>
        <w:t>K42.7 billion and interest cost</w:t>
      </w:r>
      <w:r w:rsidRPr="0084462F">
        <w:rPr>
          <w:rFonts w:ascii="Bookman Old Style" w:hAnsi="Bookman Old Style"/>
        </w:rPr>
        <w:t xml:space="preserve"> was in excess of the </w:t>
      </w:r>
      <w:r w:rsidR="00936BFD" w:rsidRPr="0084462F">
        <w:rPr>
          <w:rFonts w:ascii="Bookman Old Style" w:hAnsi="Bookman Old Style"/>
        </w:rPr>
        <w:t>approved budget</w:t>
      </w:r>
      <w:r w:rsidRPr="0084462F">
        <w:rPr>
          <w:rFonts w:ascii="Bookman Old Style" w:hAnsi="Bookman Old Style"/>
        </w:rPr>
        <w:t xml:space="preserve"> of MK11.9 billion and revised budget of MK15.4 billion.</w:t>
      </w:r>
      <w:r>
        <w:rPr>
          <w:rFonts w:ascii="Bookman Old Style" w:hAnsi="Bookman Old Style"/>
        </w:rPr>
        <w:t xml:space="preserve"> As for domestic debt, interest amounted to MK378.4 billion against approved and revised budget of MK364.2 billion. Repayment on securities amounted to MK762</w:t>
      </w:r>
      <w:r w:rsidR="00F45CDF">
        <w:rPr>
          <w:rFonts w:ascii="Bookman Old Style" w:hAnsi="Bookman Old Style"/>
        </w:rPr>
        <w:t>.0</w:t>
      </w:r>
      <w:r>
        <w:rPr>
          <w:rFonts w:ascii="Bookman Old Style" w:hAnsi="Bookman Old Style"/>
        </w:rPr>
        <w:t xml:space="preserve"> billion.</w:t>
      </w:r>
    </w:p>
    <w:p w14:paraId="348FC5F5" w14:textId="77777777" w:rsidR="00A16F8E" w:rsidRDefault="00A16F8E" w:rsidP="0021011A">
      <w:pPr>
        <w:spacing w:line="360" w:lineRule="auto"/>
        <w:rPr>
          <w:rFonts w:ascii="Bookman Old Style" w:hAnsi="Bookman Old Style"/>
          <w:b/>
        </w:rPr>
      </w:pPr>
    </w:p>
    <w:p w14:paraId="4A4197FC" w14:textId="24C7D16F" w:rsidR="0022132C" w:rsidRDefault="0022132C" w:rsidP="0022132C">
      <w:pPr>
        <w:tabs>
          <w:tab w:val="left" w:pos="2679"/>
        </w:tabs>
        <w:spacing w:line="360" w:lineRule="auto"/>
        <w:rPr>
          <w:rFonts w:ascii="Bookman Old Style" w:hAnsi="Bookman Old Style"/>
          <w:b/>
        </w:rPr>
      </w:pPr>
    </w:p>
    <w:p w14:paraId="42B06A82" w14:textId="0DC1BF34" w:rsidR="0022132C" w:rsidRDefault="0022132C" w:rsidP="0022132C">
      <w:pPr>
        <w:tabs>
          <w:tab w:val="left" w:pos="2679"/>
        </w:tabs>
        <w:spacing w:line="360" w:lineRule="auto"/>
        <w:rPr>
          <w:rFonts w:ascii="Bookman Old Style" w:hAnsi="Bookman Old Style"/>
          <w:b/>
        </w:rPr>
      </w:pPr>
    </w:p>
    <w:p w14:paraId="5CD0E962" w14:textId="05C1F423" w:rsidR="00E057CA" w:rsidRDefault="00E057CA" w:rsidP="0022132C">
      <w:pPr>
        <w:tabs>
          <w:tab w:val="left" w:pos="2679"/>
        </w:tabs>
        <w:spacing w:line="360" w:lineRule="auto"/>
        <w:rPr>
          <w:rFonts w:ascii="Bookman Old Style" w:hAnsi="Bookman Old Style"/>
          <w:b/>
        </w:rPr>
      </w:pPr>
    </w:p>
    <w:p w14:paraId="3E9922DE" w14:textId="510EE6F6" w:rsidR="00E057CA" w:rsidRDefault="00E057CA" w:rsidP="0022132C">
      <w:pPr>
        <w:tabs>
          <w:tab w:val="left" w:pos="2679"/>
        </w:tabs>
        <w:spacing w:line="360" w:lineRule="auto"/>
        <w:rPr>
          <w:rFonts w:ascii="Bookman Old Style" w:hAnsi="Bookman Old Style"/>
          <w:b/>
        </w:rPr>
      </w:pPr>
    </w:p>
    <w:p w14:paraId="270990B6" w14:textId="264BD49F" w:rsidR="00B80999" w:rsidRDefault="00B80999" w:rsidP="0022132C">
      <w:pPr>
        <w:tabs>
          <w:tab w:val="left" w:pos="2679"/>
        </w:tabs>
        <w:spacing w:line="360" w:lineRule="auto"/>
        <w:rPr>
          <w:rFonts w:ascii="Bookman Old Style" w:hAnsi="Bookman Old Style"/>
          <w:b/>
        </w:rPr>
      </w:pPr>
    </w:p>
    <w:p w14:paraId="46289D98" w14:textId="77777777" w:rsidR="00534005" w:rsidRDefault="00534005" w:rsidP="0022132C">
      <w:pPr>
        <w:tabs>
          <w:tab w:val="left" w:pos="2679"/>
        </w:tabs>
        <w:spacing w:line="360" w:lineRule="auto"/>
        <w:rPr>
          <w:rFonts w:ascii="Bookman Old Style" w:hAnsi="Bookman Old Style"/>
          <w:b/>
        </w:rPr>
      </w:pPr>
    </w:p>
    <w:p w14:paraId="6FC295BD" w14:textId="52A1D932" w:rsidR="0022132C" w:rsidRDefault="0022132C" w:rsidP="00343666">
      <w:pPr>
        <w:pStyle w:val="Heading1"/>
        <w:jc w:val="both"/>
        <w:rPr>
          <w:sz w:val="24"/>
        </w:rPr>
      </w:pPr>
    </w:p>
    <w:p w14:paraId="261625BD" w14:textId="0F03F4A6" w:rsidR="006326CA" w:rsidRDefault="006326CA" w:rsidP="006326CA"/>
    <w:p w14:paraId="25CD2B7E" w14:textId="77777777" w:rsidR="006326CA" w:rsidRPr="006326CA" w:rsidRDefault="006326CA" w:rsidP="006326CA"/>
    <w:p w14:paraId="6FFE572A" w14:textId="77777777" w:rsidR="00D305EA" w:rsidRPr="00D305EA" w:rsidRDefault="00D305EA" w:rsidP="00D305EA"/>
    <w:p w14:paraId="19723590" w14:textId="1C2FC5C3" w:rsidR="0021011A" w:rsidRDefault="0021011A" w:rsidP="0021011A">
      <w:pPr>
        <w:pStyle w:val="Heading1"/>
      </w:pPr>
      <w:bookmarkStart w:id="45" w:name="_Toc88660846"/>
      <w:r w:rsidRPr="00C116C2">
        <w:lastRenderedPageBreak/>
        <w:t xml:space="preserve">SECTION III:  EXTERNAL </w:t>
      </w:r>
      <w:r>
        <w:t>PUBLIC DEBT PORTFOLIO REVIEW</w:t>
      </w:r>
      <w:bookmarkEnd w:id="45"/>
    </w:p>
    <w:p w14:paraId="7164E9E8" w14:textId="07469BE5" w:rsidR="00D305EA" w:rsidRDefault="00D305EA" w:rsidP="00D305EA">
      <w:pPr>
        <w:tabs>
          <w:tab w:val="left" w:pos="977"/>
        </w:tabs>
      </w:pPr>
    </w:p>
    <w:p w14:paraId="73361C9E" w14:textId="71A27021" w:rsidR="00D305EA" w:rsidRDefault="001A46CE" w:rsidP="006E22C1">
      <w:pPr>
        <w:spacing w:line="360" w:lineRule="auto"/>
        <w:rPr>
          <w:rFonts w:ascii="Bookman Old Style" w:hAnsi="Bookman Old Style"/>
        </w:rPr>
      </w:pPr>
      <w:r>
        <w:rPr>
          <w:rFonts w:ascii="Bookman Old Style" w:hAnsi="Bookman Old Style"/>
        </w:rPr>
        <w:t xml:space="preserve">Malawi’s total external public debt </w:t>
      </w:r>
      <w:r w:rsidRPr="00A85BEF">
        <w:rPr>
          <w:rFonts w:ascii="Bookman Old Style" w:hAnsi="Bookman Old Style"/>
        </w:rPr>
        <w:t>stock</w:t>
      </w:r>
      <w:r>
        <w:rPr>
          <w:rFonts w:ascii="Bookman Old Style" w:hAnsi="Bookman Old Style"/>
        </w:rPr>
        <w:t xml:space="preserve"> at end-June 2021 amounted</w:t>
      </w:r>
      <w:r w:rsidR="00A92C53" w:rsidRPr="00A85BEF">
        <w:rPr>
          <w:rFonts w:ascii="Bookman Old Style" w:hAnsi="Bookman Old Style"/>
        </w:rPr>
        <w:t xml:space="preserve"> </w:t>
      </w:r>
      <w:r w:rsidR="00713BC4">
        <w:rPr>
          <w:rFonts w:ascii="Bookman Old Style" w:hAnsi="Bookman Old Style"/>
        </w:rPr>
        <w:t xml:space="preserve">to </w:t>
      </w:r>
      <w:r w:rsidR="00D965E9">
        <w:rPr>
          <w:rFonts w:ascii="Bookman Old Style" w:hAnsi="Bookman Old Style"/>
        </w:rPr>
        <w:t xml:space="preserve">   </w:t>
      </w:r>
      <w:r w:rsidR="00713BC4">
        <w:rPr>
          <w:rFonts w:ascii="Bookman Old Style" w:hAnsi="Bookman Old Style"/>
        </w:rPr>
        <w:t>USD</w:t>
      </w:r>
      <w:r w:rsidR="0094188D">
        <w:rPr>
          <w:rFonts w:ascii="Bookman Old Style" w:hAnsi="Bookman Old Style"/>
        </w:rPr>
        <w:t>3</w:t>
      </w:r>
      <w:r w:rsidR="00EF0789">
        <w:rPr>
          <w:rFonts w:ascii="Bookman Old Style" w:hAnsi="Bookman Old Style"/>
        </w:rPr>
        <w:t>, 587 million</w:t>
      </w:r>
      <w:r>
        <w:rPr>
          <w:rFonts w:ascii="Bookman Old Style" w:hAnsi="Bookman Old Style"/>
        </w:rPr>
        <w:t xml:space="preserve">, a </w:t>
      </w:r>
      <w:r w:rsidR="00A92C53" w:rsidRPr="00A85BEF">
        <w:rPr>
          <w:rFonts w:ascii="Bookman Old Style" w:hAnsi="Bookman Old Style"/>
        </w:rPr>
        <w:t xml:space="preserve">14 percent </w:t>
      </w:r>
      <w:r>
        <w:rPr>
          <w:rFonts w:ascii="Bookman Old Style" w:hAnsi="Bookman Old Style"/>
        </w:rPr>
        <w:t xml:space="preserve">increase compared to the </w:t>
      </w:r>
      <w:r w:rsidRPr="00A85BEF">
        <w:rPr>
          <w:rFonts w:ascii="Bookman Old Style" w:hAnsi="Bookman Old Style"/>
        </w:rPr>
        <w:t>US</w:t>
      </w:r>
      <w:r w:rsidR="00713BC4">
        <w:rPr>
          <w:rFonts w:ascii="Bookman Old Style" w:hAnsi="Bookman Old Style"/>
        </w:rPr>
        <w:t>D</w:t>
      </w:r>
      <w:r w:rsidR="00A92C53" w:rsidRPr="00A85BEF">
        <w:rPr>
          <w:rFonts w:ascii="Bookman Old Style" w:hAnsi="Bookman Old Style"/>
        </w:rPr>
        <w:t xml:space="preserve"> 3,152</w:t>
      </w:r>
      <w:r>
        <w:rPr>
          <w:rFonts w:ascii="Bookman Old Style" w:hAnsi="Bookman Old Style"/>
        </w:rPr>
        <w:t xml:space="preserve"> million at end-</w:t>
      </w:r>
      <w:r w:rsidR="00A92C53" w:rsidRPr="00A85BEF">
        <w:rPr>
          <w:rFonts w:ascii="Bookman Old Style" w:hAnsi="Bookman Old Style"/>
        </w:rPr>
        <w:t xml:space="preserve">June 2020. </w:t>
      </w:r>
      <w:r>
        <w:rPr>
          <w:rFonts w:ascii="Bookman Old Style" w:hAnsi="Bookman Old Style"/>
        </w:rPr>
        <w:t>I</w:t>
      </w:r>
      <w:r w:rsidRPr="001A46CE">
        <w:rPr>
          <w:rFonts w:ascii="Bookman Old Style" w:hAnsi="Bookman Old Style"/>
        </w:rPr>
        <w:t xml:space="preserve">ncreases in disbursements from Malawi’s leading multilateral and bilateral creditors, such </w:t>
      </w:r>
      <w:r w:rsidRPr="00424209">
        <w:rPr>
          <w:rFonts w:ascii="Bookman Old Style" w:hAnsi="Bookman Old Style"/>
        </w:rPr>
        <w:t>as</w:t>
      </w:r>
      <w:r w:rsidR="00D50867" w:rsidRPr="00424209">
        <w:rPr>
          <w:rFonts w:ascii="Bookman Old Style" w:hAnsi="Bookman Old Style"/>
        </w:rPr>
        <w:t xml:space="preserve">, </w:t>
      </w:r>
      <w:r w:rsidR="00D50867">
        <w:rPr>
          <w:rFonts w:ascii="Bookman Old Style" w:hAnsi="Bookman Old Style"/>
        </w:rPr>
        <w:t>IMF</w:t>
      </w:r>
      <w:r w:rsidR="00424209" w:rsidRPr="00424209">
        <w:rPr>
          <w:rFonts w:ascii="Bookman Old Style" w:hAnsi="Bookman Old Style"/>
        </w:rPr>
        <w:t>,</w:t>
      </w:r>
      <w:r w:rsidR="00424209">
        <w:rPr>
          <w:rFonts w:ascii="Bookman Old Style" w:hAnsi="Bookman Old Style"/>
        </w:rPr>
        <w:t xml:space="preserve"> EXIM</w:t>
      </w:r>
      <w:r w:rsidR="00A16F8E">
        <w:rPr>
          <w:rFonts w:ascii="Bookman Old Style" w:hAnsi="Bookman Old Style"/>
        </w:rPr>
        <w:t xml:space="preserve"> </w:t>
      </w:r>
      <w:r w:rsidRPr="001A46CE">
        <w:rPr>
          <w:rFonts w:ascii="Bookman Old Style" w:hAnsi="Bookman Old Style"/>
        </w:rPr>
        <w:t>Bank of Chin</w:t>
      </w:r>
      <w:r>
        <w:rPr>
          <w:rFonts w:ascii="Bookman Old Style" w:hAnsi="Bookman Old Style"/>
        </w:rPr>
        <w:t xml:space="preserve">a </w:t>
      </w:r>
      <w:r w:rsidR="00424209">
        <w:rPr>
          <w:rFonts w:ascii="Bookman Old Style" w:hAnsi="Bookman Old Style"/>
        </w:rPr>
        <w:t>and ADF drove</w:t>
      </w:r>
      <w:r w:rsidR="00B93723">
        <w:rPr>
          <w:rFonts w:ascii="Bookman Old Style" w:hAnsi="Bookman Old Style"/>
        </w:rPr>
        <w:t xml:space="preserve"> much of </w:t>
      </w:r>
      <w:r>
        <w:rPr>
          <w:rFonts w:ascii="Bookman Old Style" w:hAnsi="Bookman Old Style"/>
        </w:rPr>
        <w:t>the growth in</w:t>
      </w:r>
      <w:r w:rsidR="00B93723">
        <w:rPr>
          <w:rFonts w:ascii="Bookman Old Style" w:hAnsi="Bookman Old Style"/>
        </w:rPr>
        <w:t xml:space="preserve"> </w:t>
      </w:r>
      <w:r>
        <w:rPr>
          <w:rFonts w:ascii="Bookman Old Style" w:hAnsi="Bookman Old Style"/>
        </w:rPr>
        <w:t xml:space="preserve">external public </w:t>
      </w:r>
      <w:r w:rsidR="00B93723">
        <w:rPr>
          <w:rFonts w:ascii="Bookman Old Style" w:hAnsi="Bookman Old Style"/>
        </w:rPr>
        <w:t xml:space="preserve">debt. </w:t>
      </w:r>
      <w:r w:rsidR="001423FC">
        <w:rPr>
          <w:rFonts w:ascii="Bookman Old Style" w:hAnsi="Bookman Old Style"/>
        </w:rPr>
        <w:t>The bulk of the borrowings were project loans and loans ob</w:t>
      </w:r>
      <w:r w:rsidR="00534005">
        <w:rPr>
          <w:rFonts w:ascii="Bookman Old Style" w:hAnsi="Bookman Old Style"/>
        </w:rPr>
        <w:t>tained by the government and on-</w:t>
      </w:r>
      <w:r w:rsidR="001423FC">
        <w:rPr>
          <w:rFonts w:ascii="Bookman Old Style" w:hAnsi="Bookman Old Style"/>
        </w:rPr>
        <w:t xml:space="preserve">lent to public corporations.  In addition, </w:t>
      </w:r>
      <w:r w:rsidR="00EF0789">
        <w:rPr>
          <w:rFonts w:ascii="Bookman Old Style" w:hAnsi="Bookman Old Style"/>
        </w:rPr>
        <w:t xml:space="preserve">USD-MK </w:t>
      </w:r>
      <w:r w:rsidR="001423FC">
        <w:rPr>
          <w:rFonts w:ascii="Bookman Old Style" w:hAnsi="Bookman Old Style"/>
        </w:rPr>
        <w:t>swap arrangement</w:t>
      </w:r>
      <w:r w:rsidR="00D50867">
        <w:rPr>
          <w:rFonts w:ascii="Bookman Old Style" w:hAnsi="Bookman Old Style"/>
        </w:rPr>
        <w:t xml:space="preserve">s by RBM </w:t>
      </w:r>
      <w:r w:rsidR="001423FC">
        <w:rPr>
          <w:rFonts w:ascii="Bookman Old Style" w:hAnsi="Bookman Old Style"/>
        </w:rPr>
        <w:t>also resulted in the increase in total external debt.</w:t>
      </w:r>
    </w:p>
    <w:p w14:paraId="438BF3D4" w14:textId="0CF41BAB" w:rsidR="00985D70" w:rsidRDefault="00985D70" w:rsidP="00985D70">
      <w:pPr>
        <w:pStyle w:val="Heading2"/>
      </w:pPr>
      <w:bookmarkStart w:id="46" w:name="_Toc88660847"/>
      <w:r>
        <w:t xml:space="preserve">3.1 </w:t>
      </w:r>
      <w:r w:rsidRPr="00B70677">
        <w:t>External</w:t>
      </w:r>
      <w:r w:rsidRPr="00C116C2">
        <w:t xml:space="preserve"> Debt </w:t>
      </w:r>
      <w:r w:rsidR="00424209" w:rsidRPr="00C116C2">
        <w:t xml:space="preserve">by </w:t>
      </w:r>
      <w:r w:rsidR="00424209">
        <w:t>Holder</w:t>
      </w:r>
      <w:bookmarkEnd w:id="46"/>
      <w:r w:rsidR="00424209">
        <w:t xml:space="preserve"> </w:t>
      </w:r>
    </w:p>
    <w:p w14:paraId="3967C3A8" w14:textId="77777777" w:rsidR="00985D70" w:rsidRPr="00985D70" w:rsidRDefault="00985D70" w:rsidP="00985D70">
      <w:pPr>
        <w:autoSpaceDE w:val="0"/>
        <w:autoSpaceDN w:val="0"/>
        <w:adjustRightInd w:val="0"/>
        <w:spacing w:after="0"/>
        <w:jc w:val="left"/>
        <w:rPr>
          <w:rFonts w:eastAsiaTheme="minorHAnsi"/>
          <w:color w:val="000000"/>
        </w:rPr>
      </w:pPr>
    </w:p>
    <w:p w14:paraId="5CC9C8BD" w14:textId="503D7DDB" w:rsidR="00985D70" w:rsidRPr="008A3470" w:rsidRDefault="00985D70" w:rsidP="008A3470">
      <w:pPr>
        <w:autoSpaceDE w:val="0"/>
        <w:autoSpaceDN w:val="0"/>
        <w:adjustRightInd w:val="0"/>
        <w:spacing w:after="189" w:line="360" w:lineRule="auto"/>
        <w:rPr>
          <w:rFonts w:ascii="Bookman Old Style" w:hAnsi="Bookman Old Style"/>
        </w:rPr>
      </w:pPr>
      <w:r w:rsidRPr="008A3470">
        <w:rPr>
          <w:rFonts w:ascii="Bookman Old Style" w:hAnsi="Bookman Old Style"/>
        </w:rPr>
        <w:t xml:space="preserve">As at end June 2021, </w:t>
      </w:r>
      <w:r w:rsidR="00D50867">
        <w:rPr>
          <w:rFonts w:ascii="Bookman Old Style" w:hAnsi="Bookman Old Style"/>
        </w:rPr>
        <w:t>c</w:t>
      </w:r>
      <w:r w:rsidR="00D97B99">
        <w:rPr>
          <w:rFonts w:ascii="Bookman Old Style" w:hAnsi="Bookman Old Style"/>
        </w:rPr>
        <w:t xml:space="preserve">entral </w:t>
      </w:r>
      <w:r w:rsidR="00D50867">
        <w:rPr>
          <w:rFonts w:ascii="Bookman Old Style" w:hAnsi="Bookman Old Style"/>
        </w:rPr>
        <w:t>g</w:t>
      </w:r>
      <w:r w:rsidRPr="008A3470">
        <w:rPr>
          <w:rFonts w:ascii="Bookman Old Style" w:hAnsi="Bookman Old Style"/>
        </w:rPr>
        <w:t>overnment debt accounted for 73 percent of the total external debt.</w:t>
      </w:r>
      <w:r w:rsidR="008A3470" w:rsidRPr="008A3470">
        <w:rPr>
          <w:rFonts w:ascii="Bookman Old Style" w:hAnsi="Bookman Old Style"/>
        </w:rPr>
        <w:t xml:space="preserve"> This was a decrease from 87 percent in June 2020. </w:t>
      </w:r>
      <w:r w:rsidRPr="008A3470">
        <w:rPr>
          <w:rFonts w:ascii="Bookman Old Style" w:hAnsi="Bookman Old Style"/>
        </w:rPr>
        <w:t xml:space="preserve"> The </w:t>
      </w:r>
      <w:r w:rsidR="00D97B99">
        <w:rPr>
          <w:rFonts w:ascii="Bookman Old Style" w:hAnsi="Bookman Old Style"/>
        </w:rPr>
        <w:t xml:space="preserve">central </w:t>
      </w:r>
      <w:r w:rsidRPr="008A3470">
        <w:rPr>
          <w:rFonts w:ascii="Bookman Old Style" w:hAnsi="Bookman Old Style"/>
        </w:rPr>
        <w:t xml:space="preserve">government debt includes debt </w:t>
      </w:r>
      <w:r w:rsidR="00093544">
        <w:rPr>
          <w:rFonts w:ascii="Bookman Old Style" w:hAnsi="Bookman Old Style"/>
        </w:rPr>
        <w:t>contracted</w:t>
      </w:r>
      <w:r w:rsidRPr="008A3470">
        <w:rPr>
          <w:rFonts w:ascii="Bookman Old Style" w:hAnsi="Bookman Old Style"/>
        </w:rPr>
        <w:t xml:space="preserve"> for infrastructure projects</w:t>
      </w:r>
      <w:r w:rsidR="0022132C">
        <w:rPr>
          <w:rFonts w:ascii="Bookman Old Style" w:hAnsi="Bookman Old Style"/>
        </w:rPr>
        <w:t xml:space="preserve"> </w:t>
      </w:r>
      <w:r w:rsidRPr="008A3470">
        <w:rPr>
          <w:rFonts w:ascii="Bookman Old Style" w:hAnsi="Bookman Old Style"/>
        </w:rPr>
        <w:t>and</w:t>
      </w:r>
      <w:r w:rsidR="008A3470" w:rsidRPr="008A3470">
        <w:rPr>
          <w:rFonts w:ascii="Bookman Old Style" w:hAnsi="Bookman Old Style"/>
        </w:rPr>
        <w:t xml:space="preserve"> loans on lent to state owned enterprises for different projects</w:t>
      </w:r>
      <w:r w:rsidRPr="008A3470">
        <w:rPr>
          <w:rFonts w:ascii="Bookman Old Style" w:hAnsi="Bookman Old Style"/>
        </w:rPr>
        <w:t xml:space="preserve">. </w:t>
      </w:r>
      <w:r w:rsidR="008A3470" w:rsidRPr="008A3470">
        <w:rPr>
          <w:rFonts w:ascii="Bookman Old Style" w:hAnsi="Bookman Old Style"/>
        </w:rPr>
        <w:t xml:space="preserve"> </w:t>
      </w:r>
    </w:p>
    <w:p w14:paraId="730B25E5" w14:textId="2F9EE15B" w:rsidR="00985D70" w:rsidRDefault="00D97B99" w:rsidP="00D305EA">
      <w:pPr>
        <w:spacing w:line="360" w:lineRule="auto"/>
        <w:rPr>
          <w:rFonts w:ascii="Bookman Old Style" w:hAnsi="Bookman Old Style"/>
        </w:rPr>
      </w:pPr>
      <w:r>
        <w:rPr>
          <w:rFonts w:ascii="Bookman Old Style" w:hAnsi="Bookman Old Style"/>
        </w:rPr>
        <w:t xml:space="preserve">Debt under </w:t>
      </w:r>
      <w:r w:rsidR="00D50867">
        <w:rPr>
          <w:rFonts w:ascii="Bookman Old Style" w:hAnsi="Bookman Old Style"/>
        </w:rPr>
        <w:t xml:space="preserve">RBM </w:t>
      </w:r>
      <w:r w:rsidR="00D50867" w:rsidRPr="008A3470">
        <w:rPr>
          <w:rFonts w:ascii="Bookman Old Style" w:hAnsi="Bookman Old Style"/>
        </w:rPr>
        <w:t>accounted</w:t>
      </w:r>
      <w:r w:rsidR="004A5989">
        <w:rPr>
          <w:rFonts w:ascii="Bookman Old Style" w:hAnsi="Bookman Old Style"/>
        </w:rPr>
        <w:t xml:space="preserve"> for</w:t>
      </w:r>
      <w:r w:rsidR="008A3470" w:rsidRPr="008A3470">
        <w:rPr>
          <w:rFonts w:ascii="Bookman Old Style" w:hAnsi="Bookman Old Style"/>
        </w:rPr>
        <w:t xml:space="preserve"> 27 percent of</w:t>
      </w:r>
      <w:r w:rsidR="00985D70" w:rsidRPr="008A3470">
        <w:rPr>
          <w:rFonts w:ascii="Bookman Old Style" w:hAnsi="Bookman Old Style"/>
        </w:rPr>
        <w:t xml:space="preserve"> the total external debt</w:t>
      </w:r>
      <w:r w:rsidR="008A3470" w:rsidRPr="008A3470">
        <w:rPr>
          <w:rFonts w:ascii="Bookman Old Style" w:hAnsi="Bookman Old Style"/>
        </w:rPr>
        <w:t xml:space="preserve"> in June 2021 up from 13 percent in June 2020</w:t>
      </w:r>
      <w:r w:rsidR="00985D70" w:rsidRPr="008A3470">
        <w:rPr>
          <w:rFonts w:ascii="Bookman Old Style" w:hAnsi="Bookman Old Style"/>
        </w:rPr>
        <w:t xml:space="preserve">. </w:t>
      </w:r>
      <w:r w:rsidR="008A3470" w:rsidRPr="008A3470">
        <w:rPr>
          <w:rFonts w:ascii="Bookman Old Style" w:hAnsi="Bookman Old Style"/>
        </w:rPr>
        <w:t xml:space="preserve"> </w:t>
      </w:r>
      <w:r w:rsidR="004A5989">
        <w:rPr>
          <w:rFonts w:ascii="Bookman Old Style" w:hAnsi="Bookman Old Style"/>
        </w:rPr>
        <w:t xml:space="preserve"> This</w:t>
      </w:r>
      <w:r w:rsidR="008A3470">
        <w:rPr>
          <w:rFonts w:ascii="Bookman Old Style" w:hAnsi="Bookman Old Style"/>
        </w:rPr>
        <w:t xml:space="preserve"> </w:t>
      </w:r>
      <w:r w:rsidR="008A3470" w:rsidRPr="008A3470">
        <w:rPr>
          <w:rFonts w:ascii="Bookman Old Style" w:hAnsi="Bookman Old Style"/>
        </w:rPr>
        <w:t>debt includes various</w:t>
      </w:r>
      <w:r w:rsidR="00F45CDF">
        <w:rPr>
          <w:rFonts w:ascii="Bookman Old Style" w:hAnsi="Bookman Old Style"/>
        </w:rPr>
        <w:t xml:space="preserve"> USD-MK</w:t>
      </w:r>
      <w:r w:rsidR="008A3470" w:rsidRPr="008A3470">
        <w:rPr>
          <w:rFonts w:ascii="Bookman Old Style" w:hAnsi="Bookman Old Style"/>
        </w:rPr>
        <w:t xml:space="preserve"> </w:t>
      </w:r>
      <w:r w:rsidR="004A5989">
        <w:rPr>
          <w:rFonts w:ascii="Bookman Old Style" w:hAnsi="Bookman Old Style"/>
        </w:rPr>
        <w:t xml:space="preserve">currency </w:t>
      </w:r>
      <w:r w:rsidR="008A3470" w:rsidRPr="008A3470">
        <w:rPr>
          <w:rFonts w:ascii="Bookman Old Style" w:hAnsi="Bookman Old Style"/>
        </w:rPr>
        <w:t xml:space="preserve">swap arrangements with different creditors, including </w:t>
      </w:r>
      <w:r w:rsidR="00EF0789">
        <w:rPr>
          <w:rFonts w:ascii="Bookman Old Style" w:hAnsi="Bookman Old Style"/>
        </w:rPr>
        <w:t xml:space="preserve">Africa Export Import </w:t>
      </w:r>
      <w:r w:rsidR="001D2408">
        <w:rPr>
          <w:rFonts w:ascii="Bookman Old Style" w:hAnsi="Bookman Old Style"/>
        </w:rPr>
        <w:t>(AFREXIM)</w:t>
      </w:r>
      <w:r w:rsidR="001D2408" w:rsidRPr="008A3470">
        <w:rPr>
          <w:rFonts w:ascii="Bookman Old Style" w:hAnsi="Bookman Old Style"/>
        </w:rPr>
        <w:t xml:space="preserve"> </w:t>
      </w:r>
      <w:r w:rsidR="008A3470" w:rsidRPr="008A3470">
        <w:rPr>
          <w:rFonts w:ascii="Bookman Old Style" w:hAnsi="Bookman Old Style"/>
        </w:rPr>
        <w:t>Bank</w:t>
      </w:r>
      <w:r w:rsidR="001D2408">
        <w:rPr>
          <w:rFonts w:ascii="Bookman Old Style" w:hAnsi="Bookman Old Style"/>
        </w:rPr>
        <w:t xml:space="preserve">. </w:t>
      </w:r>
    </w:p>
    <w:p w14:paraId="43B2F61B" w14:textId="77777777" w:rsidR="00D305EA" w:rsidRPr="00D305EA" w:rsidRDefault="00D305EA" w:rsidP="00D305EA">
      <w:pPr>
        <w:spacing w:line="360" w:lineRule="auto"/>
        <w:rPr>
          <w:rFonts w:ascii="Bookman Old Style" w:hAnsi="Bookman Old Style"/>
        </w:rPr>
      </w:pPr>
    </w:p>
    <w:p w14:paraId="709A7ED3" w14:textId="25EAEDC2" w:rsidR="00985D70" w:rsidRPr="00B80999" w:rsidRDefault="00B80999" w:rsidP="00B80999">
      <w:pPr>
        <w:pStyle w:val="Caption"/>
        <w:keepNext/>
        <w:jc w:val="both"/>
        <w:rPr>
          <w:rFonts w:ascii="Bookman Old Style" w:hAnsi="Bookman Old Style"/>
          <w:sz w:val="24"/>
          <w:szCs w:val="24"/>
        </w:rPr>
      </w:pPr>
      <w:bookmarkStart w:id="47" w:name="_Toc88660889"/>
      <w:r w:rsidRPr="00B80999">
        <w:rPr>
          <w:rFonts w:ascii="Bookman Old Style" w:hAnsi="Bookman Old Style"/>
          <w:sz w:val="24"/>
          <w:szCs w:val="24"/>
        </w:rPr>
        <w:t xml:space="preserve">Table </w:t>
      </w:r>
      <w:r w:rsidRPr="00B80999">
        <w:rPr>
          <w:rFonts w:ascii="Bookman Old Style" w:hAnsi="Bookman Old Style"/>
          <w:sz w:val="24"/>
          <w:szCs w:val="24"/>
        </w:rPr>
        <w:fldChar w:fldCharType="begin"/>
      </w:r>
      <w:r w:rsidRPr="00B80999">
        <w:rPr>
          <w:rFonts w:ascii="Bookman Old Style" w:hAnsi="Bookman Old Style"/>
          <w:sz w:val="24"/>
          <w:szCs w:val="24"/>
        </w:rPr>
        <w:instrText xml:space="preserve"> SEQ Table \* ARABIC </w:instrText>
      </w:r>
      <w:r w:rsidRPr="00B80999">
        <w:rPr>
          <w:rFonts w:ascii="Bookman Old Style" w:hAnsi="Bookman Old Style"/>
          <w:sz w:val="24"/>
          <w:szCs w:val="24"/>
        </w:rPr>
        <w:fldChar w:fldCharType="separate"/>
      </w:r>
      <w:r w:rsidR="00924FE2">
        <w:rPr>
          <w:rFonts w:ascii="Bookman Old Style" w:hAnsi="Bookman Old Style"/>
          <w:noProof/>
          <w:sz w:val="24"/>
          <w:szCs w:val="24"/>
        </w:rPr>
        <w:t>3</w:t>
      </w:r>
      <w:r w:rsidRPr="00B80999">
        <w:rPr>
          <w:rFonts w:ascii="Bookman Old Style" w:hAnsi="Bookman Old Style"/>
          <w:sz w:val="24"/>
          <w:szCs w:val="24"/>
        </w:rPr>
        <w:fldChar w:fldCharType="end"/>
      </w:r>
      <w:r w:rsidRPr="00B80999">
        <w:rPr>
          <w:rFonts w:ascii="Bookman Old Style" w:hAnsi="Bookman Old Style"/>
          <w:sz w:val="24"/>
          <w:szCs w:val="24"/>
        </w:rPr>
        <w:t xml:space="preserve">: External Debt Stock, by </w:t>
      </w:r>
      <w:r w:rsidR="00907458">
        <w:rPr>
          <w:rFonts w:ascii="Bookman Old Style" w:hAnsi="Bookman Old Style"/>
          <w:sz w:val="24"/>
          <w:szCs w:val="24"/>
        </w:rPr>
        <w:t xml:space="preserve">Holder </w:t>
      </w:r>
      <w:r w:rsidRPr="00B80999">
        <w:rPr>
          <w:rFonts w:ascii="Bookman Old Style" w:hAnsi="Bookman Old Style"/>
          <w:sz w:val="24"/>
          <w:szCs w:val="24"/>
        </w:rPr>
        <w:t>(USD Million)</w:t>
      </w:r>
      <w:r>
        <w:rPr>
          <w:rFonts w:ascii="Bookman Old Style" w:hAnsi="Bookman Old Style"/>
          <w:sz w:val="24"/>
          <w:szCs w:val="24"/>
        </w:rPr>
        <w:t xml:space="preserve"> as at end-June 2020 and 2021</w:t>
      </w:r>
      <w:bookmarkEnd w:id="47"/>
    </w:p>
    <w:tbl>
      <w:tblPr>
        <w:tblW w:w="8943" w:type="dxa"/>
        <w:tblLook w:val="04A0" w:firstRow="1" w:lastRow="0" w:firstColumn="1" w:lastColumn="0" w:noHBand="0" w:noVBand="1"/>
      </w:tblPr>
      <w:tblGrid>
        <w:gridCol w:w="4259"/>
        <w:gridCol w:w="1237"/>
        <w:gridCol w:w="2014"/>
        <w:gridCol w:w="1456"/>
      </w:tblGrid>
      <w:tr w:rsidR="008A3470" w:rsidRPr="008A3470" w14:paraId="0680EEE3" w14:textId="77777777" w:rsidTr="00990BB5">
        <w:trPr>
          <w:trHeight w:val="304"/>
        </w:trPr>
        <w:tc>
          <w:tcPr>
            <w:tcW w:w="4259" w:type="dxa"/>
            <w:tcBorders>
              <w:top w:val="single" w:sz="18" w:space="0" w:color="auto"/>
              <w:left w:val="single" w:sz="18" w:space="0" w:color="auto"/>
              <w:bottom w:val="single" w:sz="18" w:space="0" w:color="auto"/>
              <w:right w:val="nil"/>
            </w:tcBorders>
            <w:shd w:val="clear" w:color="auto" w:fill="B3D5AB" w:themeFill="accent4" w:themeFillTint="66"/>
            <w:noWrap/>
            <w:vAlign w:val="bottom"/>
            <w:hideMark/>
          </w:tcPr>
          <w:p w14:paraId="58C27ABA" w14:textId="637CCAD1" w:rsidR="008A3470" w:rsidRPr="008A3470" w:rsidRDefault="008A3470" w:rsidP="00524F5C">
            <w:pPr>
              <w:spacing w:after="0"/>
              <w:jc w:val="left"/>
              <w:rPr>
                <w:rFonts w:ascii="Calibri" w:hAnsi="Calibri" w:cs="Calibri"/>
                <w:b/>
                <w:bCs/>
                <w:sz w:val="22"/>
                <w:szCs w:val="22"/>
                <w:lang w:eastAsia="en-GB"/>
              </w:rPr>
            </w:pPr>
            <w:r w:rsidRPr="008A3470">
              <w:rPr>
                <w:rFonts w:ascii="Calibri" w:hAnsi="Calibri" w:cs="Calibri"/>
                <w:b/>
                <w:bCs/>
                <w:sz w:val="22"/>
                <w:szCs w:val="22"/>
                <w:lang w:eastAsia="en-GB"/>
              </w:rPr>
              <w:t>Category</w:t>
            </w:r>
          </w:p>
        </w:tc>
        <w:tc>
          <w:tcPr>
            <w:tcW w:w="1214" w:type="dxa"/>
            <w:tcBorders>
              <w:top w:val="single" w:sz="18" w:space="0" w:color="auto"/>
              <w:left w:val="nil"/>
              <w:bottom w:val="single" w:sz="18" w:space="0" w:color="auto"/>
              <w:right w:val="nil"/>
            </w:tcBorders>
            <w:shd w:val="clear" w:color="auto" w:fill="B3D5AB" w:themeFill="accent4" w:themeFillTint="66"/>
            <w:noWrap/>
            <w:vAlign w:val="bottom"/>
            <w:hideMark/>
          </w:tcPr>
          <w:p w14:paraId="37EB0C3C" w14:textId="77777777" w:rsidR="008A3470" w:rsidRPr="008A3470" w:rsidRDefault="008A3470" w:rsidP="008A3470">
            <w:pPr>
              <w:spacing w:after="0"/>
              <w:jc w:val="right"/>
              <w:rPr>
                <w:rFonts w:ascii="Arial" w:hAnsi="Arial" w:cs="Arial"/>
                <w:b/>
                <w:bCs/>
                <w:sz w:val="20"/>
                <w:szCs w:val="20"/>
                <w:lang w:eastAsia="en-GB"/>
              </w:rPr>
            </w:pPr>
            <w:r w:rsidRPr="008A3470">
              <w:rPr>
                <w:rFonts w:ascii="Arial" w:hAnsi="Arial" w:cs="Arial"/>
                <w:b/>
                <w:bCs/>
                <w:sz w:val="20"/>
                <w:szCs w:val="20"/>
                <w:lang w:eastAsia="en-GB"/>
              </w:rPr>
              <w:t>Jun-20</w:t>
            </w:r>
          </w:p>
        </w:tc>
        <w:tc>
          <w:tcPr>
            <w:tcW w:w="2014" w:type="dxa"/>
            <w:tcBorders>
              <w:top w:val="single" w:sz="18" w:space="0" w:color="auto"/>
              <w:left w:val="nil"/>
              <w:bottom w:val="single" w:sz="18" w:space="0" w:color="auto"/>
              <w:right w:val="nil"/>
            </w:tcBorders>
            <w:shd w:val="clear" w:color="auto" w:fill="B3D5AB" w:themeFill="accent4" w:themeFillTint="66"/>
            <w:noWrap/>
            <w:vAlign w:val="bottom"/>
            <w:hideMark/>
          </w:tcPr>
          <w:p w14:paraId="4F412B65" w14:textId="77777777" w:rsidR="008A3470" w:rsidRPr="008A3470" w:rsidRDefault="008A3470" w:rsidP="008A3470">
            <w:pPr>
              <w:spacing w:after="0"/>
              <w:jc w:val="right"/>
              <w:rPr>
                <w:rFonts w:ascii="Arial" w:hAnsi="Arial" w:cs="Arial"/>
                <w:b/>
                <w:bCs/>
                <w:sz w:val="20"/>
                <w:szCs w:val="20"/>
                <w:lang w:eastAsia="en-GB"/>
              </w:rPr>
            </w:pPr>
            <w:r w:rsidRPr="008A3470">
              <w:rPr>
                <w:rFonts w:ascii="Arial" w:hAnsi="Arial" w:cs="Arial"/>
                <w:b/>
                <w:bCs/>
                <w:sz w:val="20"/>
                <w:szCs w:val="20"/>
                <w:lang w:eastAsia="en-GB"/>
              </w:rPr>
              <w:t>Jun-21</w:t>
            </w:r>
          </w:p>
        </w:tc>
        <w:tc>
          <w:tcPr>
            <w:tcW w:w="1456" w:type="dxa"/>
            <w:tcBorders>
              <w:top w:val="single" w:sz="18" w:space="0" w:color="auto"/>
              <w:left w:val="nil"/>
              <w:bottom w:val="single" w:sz="18" w:space="0" w:color="auto"/>
              <w:right w:val="single" w:sz="18" w:space="0" w:color="auto"/>
            </w:tcBorders>
            <w:shd w:val="clear" w:color="auto" w:fill="B3D5AB" w:themeFill="accent4" w:themeFillTint="66"/>
            <w:noWrap/>
            <w:vAlign w:val="bottom"/>
            <w:hideMark/>
          </w:tcPr>
          <w:p w14:paraId="122A941E" w14:textId="77777777" w:rsidR="008A3470" w:rsidRPr="008A3470" w:rsidRDefault="008A3470" w:rsidP="008A3470">
            <w:pPr>
              <w:spacing w:after="0"/>
              <w:jc w:val="left"/>
              <w:rPr>
                <w:rFonts w:ascii="Arial" w:hAnsi="Arial" w:cs="Arial"/>
                <w:b/>
                <w:bCs/>
                <w:sz w:val="20"/>
                <w:szCs w:val="20"/>
                <w:lang w:eastAsia="en-GB"/>
              </w:rPr>
            </w:pPr>
            <w:r w:rsidRPr="008A3470">
              <w:rPr>
                <w:rFonts w:ascii="Arial" w:hAnsi="Arial" w:cs="Arial"/>
                <w:b/>
                <w:bCs/>
                <w:sz w:val="20"/>
                <w:szCs w:val="20"/>
                <w:lang w:eastAsia="en-GB"/>
              </w:rPr>
              <w:t>(%) Change</w:t>
            </w:r>
          </w:p>
        </w:tc>
      </w:tr>
      <w:tr w:rsidR="008A3470" w:rsidRPr="008A3470" w14:paraId="24FC6950" w14:textId="77777777" w:rsidTr="00990BB5">
        <w:trPr>
          <w:trHeight w:val="304"/>
        </w:trPr>
        <w:tc>
          <w:tcPr>
            <w:tcW w:w="4259" w:type="dxa"/>
            <w:tcBorders>
              <w:top w:val="single" w:sz="18" w:space="0" w:color="auto"/>
              <w:left w:val="single" w:sz="18" w:space="0" w:color="auto"/>
              <w:bottom w:val="nil"/>
              <w:right w:val="nil"/>
            </w:tcBorders>
            <w:shd w:val="clear" w:color="auto" w:fill="D2CAB6" w:themeFill="background2" w:themeFillShade="E6"/>
            <w:noWrap/>
            <w:vAlign w:val="bottom"/>
            <w:hideMark/>
          </w:tcPr>
          <w:p w14:paraId="1B591F7B" w14:textId="361473A3" w:rsidR="008A3470" w:rsidRPr="004C2087" w:rsidRDefault="00232F97" w:rsidP="008A3470">
            <w:pPr>
              <w:spacing w:after="0"/>
              <w:jc w:val="lef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 xml:space="preserve"> (1</w:t>
            </w:r>
            <w:r w:rsidR="008A3470" w:rsidRPr="004C2087">
              <w:rPr>
                <w:rFonts w:ascii="Bookman Old Style" w:hAnsi="Bookman Old Style"/>
                <w:b/>
                <w:bCs/>
                <w:color w:val="000000"/>
                <w:sz w:val="22"/>
                <w:szCs w:val="22"/>
                <w:lang w:eastAsia="en-GB"/>
              </w:rPr>
              <w:t xml:space="preserve">) Central Government </w:t>
            </w:r>
          </w:p>
        </w:tc>
        <w:tc>
          <w:tcPr>
            <w:tcW w:w="1214" w:type="dxa"/>
            <w:tcBorders>
              <w:top w:val="single" w:sz="18" w:space="0" w:color="auto"/>
              <w:left w:val="nil"/>
              <w:bottom w:val="nil"/>
              <w:right w:val="nil"/>
            </w:tcBorders>
            <w:shd w:val="clear" w:color="auto" w:fill="D2CAB6" w:themeFill="background2" w:themeFillShade="E6"/>
            <w:noWrap/>
            <w:vAlign w:val="bottom"/>
            <w:hideMark/>
          </w:tcPr>
          <w:p w14:paraId="4519812F" w14:textId="627BFFFD" w:rsidR="008A3470" w:rsidRPr="004C2087" w:rsidRDefault="00234986" w:rsidP="008A3470">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2,735.06</w:t>
            </w:r>
          </w:p>
        </w:tc>
        <w:tc>
          <w:tcPr>
            <w:tcW w:w="2014" w:type="dxa"/>
            <w:tcBorders>
              <w:top w:val="single" w:sz="18" w:space="0" w:color="auto"/>
              <w:left w:val="nil"/>
              <w:bottom w:val="nil"/>
              <w:right w:val="nil"/>
            </w:tcBorders>
            <w:shd w:val="clear" w:color="auto" w:fill="D2CAB6" w:themeFill="background2" w:themeFillShade="E6"/>
            <w:noWrap/>
            <w:vAlign w:val="bottom"/>
            <w:hideMark/>
          </w:tcPr>
          <w:p w14:paraId="7E7DB732" w14:textId="77777777" w:rsidR="008A3470" w:rsidRPr="004C2087" w:rsidRDefault="008A3470" w:rsidP="008A3470">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2,617.62</w:t>
            </w:r>
          </w:p>
        </w:tc>
        <w:tc>
          <w:tcPr>
            <w:tcW w:w="1456" w:type="dxa"/>
            <w:tcBorders>
              <w:top w:val="single" w:sz="18" w:space="0" w:color="auto"/>
              <w:left w:val="nil"/>
              <w:bottom w:val="nil"/>
              <w:right w:val="single" w:sz="18" w:space="0" w:color="auto"/>
            </w:tcBorders>
            <w:shd w:val="clear" w:color="auto" w:fill="D2CAB6" w:themeFill="background2" w:themeFillShade="E6"/>
            <w:noWrap/>
            <w:vAlign w:val="bottom"/>
            <w:hideMark/>
          </w:tcPr>
          <w:p w14:paraId="37E9F22D" w14:textId="77777777" w:rsidR="008A3470" w:rsidRPr="004C2087" w:rsidRDefault="008A3470" w:rsidP="008A3470">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-4.29</w:t>
            </w:r>
          </w:p>
        </w:tc>
      </w:tr>
      <w:tr w:rsidR="008A3470" w:rsidRPr="008A3470" w14:paraId="562F6ECD" w14:textId="77777777" w:rsidTr="00551FA8">
        <w:trPr>
          <w:trHeight w:val="304"/>
        </w:trPr>
        <w:tc>
          <w:tcPr>
            <w:tcW w:w="4259" w:type="dxa"/>
            <w:tcBorders>
              <w:top w:val="nil"/>
              <w:left w:val="single" w:sz="18" w:space="0" w:color="auto"/>
              <w:bottom w:val="nil"/>
              <w:right w:val="nil"/>
            </w:tcBorders>
            <w:shd w:val="clear" w:color="auto" w:fill="auto"/>
            <w:noWrap/>
            <w:vAlign w:val="bottom"/>
            <w:hideMark/>
          </w:tcPr>
          <w:p w14:paraId="0260E80D" w14:textId="77777777" w:rsidR="008A3470" w:rsidRPr="004C2087" w:rsidRDefault="008A3470" w:rsidP="008A3470">
            <w:pPr>
              <w:spacing w:after="0"/>
              <w:jc w:val="left"/>
              <w:rPr>
                <w:rFonts w:ascii="Bookman Old Style" w:hAnsi="Bookman Old Style" w:cs="Calibri"/>
                <w:sz w:val="22"/>
                <w:szCs w:val="22"/>
                <w:lang w:eastAsia="en-GB"/>
              </w:rPr>
            </w:pPr>
            <w:r w:rsidRPr="004C2087">
              <w:rPr>
                <w:rFonts w:ascii="Bookman Old Style" w:hAnsi="Bookman Old Style" w:cs="Calibri"/>
                <w:sz w:val="22"/>
                <w:szCs w:val="22"/>
                <w:lang w:eastAsia="en-GB"/>
              </w:rPr>
              <w:t xml:space="preserve">   (%) of total </w:t>
            </w:r>
          </w:p>
        </w:tc>
        <w:tc>
          <w:tcPr>
            <w:tcW w:w="1214" w:type="dxa"/>
            <w:tcBorders>
              <w:top w:val="nil"/>
              <w:left w:val="nil"/>
              <w:bottom w:val="nil"/>
              <w:right w:val="nil"/>
            </w:tcBorders>
            <w:shd w:val="clear" w:color="auto" w:fill="auto"/>
            <w:noWrap/>
            <w:vAlign w:val="bottom"/>
            <w:hideMark/>
          </w:tcPr>
          <w:p w14:paraId="5AB2E0DC" w14:textId="77777777" w:rsidR="008A3470" w:rsidRPr="004C2087" w:rsidRDefault="008A3470" w:rsidP="008A3470">
            <w:pPr>
              <w:spacing w:after="0"/>
              <w:jc w:val="right"/>
              <w:rPr>
                <w:rFonts w:ascii="Bookman Old Style" w:hAnsi="Bookman Old Style" w:cs="Calibri"/>
                <w:sz w:val="22"/>
                <w:szCs w:val="22"/>
                <w:lang w:eastAsia="en-GB"/>
              </w:rPr>
            </w:pPr>
            <w:r w:rsidRPr="004C2087">
              <w:rPr>
                <w:rFonts w:ascii="Bookman Old Style" w:hAnsi="Bookman Old Style" w:cs="Calibri"/>
                <w:sz w:val="22"/>
                <w:szCs w:val="22"/>
                <w:lang w:eastAsia="en-GB"/>
              </w:rPr>
              <w:t>86.78</w:t>
            </w:r>
          </w:p>
        </w:tc>
        <w:tc>
          <w:tcPr>
            <w:tcW w:w="2014" w:type="dxa"/>
            <w:tcBorders>
              <w:top w:val="nil"/>
              <w:left w:val="nil"/>
              <w:bottom w:val="nil"/>
              <w:right w:val="nil"/>
            </w:tcBorders>
            <w:shd w:val="clear" w:color="auto" w:fill="auto"/>
            <w:noWrap/>
            <w:vAlign w:val="bottom"/>
            <w:hideMark/>
          </w:tcPr>
          <w:p w14:paraId="1B694339" w14:textId="77777777" w:rsidR="008A3470" w:rsidRPr="004C2087" w:rsidRDefault="008A3470" w:rsidP="008A3470">
            <w:pPr>
              <w:spacing w:after="0"/>
              <w:jc w:val="right"/>
              <w:rPr>
                <w:rFonts w:ascii="Bookman Old Style" w:hAnsi="Bookman Old Style" w:cs="Calibri"/>
                <w:sz w:val="22"/>
                <w:szCs w:val="22"/>
                <w:lang w:eastAsia="en-GB"/>
              </w:rPr>
            </w:pPr>
            <w:r w:rsidRPr="004C2087">
              <w:rPr>
                <w:rFonts w:ascii="Bookman Old Style" w:hAnsi="Bookman Old Style" w:cs="Calibri"/>
                <w:sz w:val="22"/>
                <w:szCs w:val="22"/>
                <w:lang w:eastAsia="en-GB"/>
              </w:rPr>
              <w:t>72.98</w:t>
            </w:r>
          </w:p>
        </w:tc>
        <w:tc>
          <w:tcPr>
            <w:tcW w:w="1456" w:type="dxa"/>
            <w:tcBorders>
              <w:top w:val="nil"/>
              <w:left w:val="nil"/>
              <w:bottom w:val="nil"/>
              <w:right w:val="single" w:sz="18" w:space="0" w:color="auto"/>
            </w:tcBorders>
            <w:shd w:val="clear" w:color="auto" w:fill="auto"/>
            <w:noWrap/>
            <w:vAlign w:val="bottom"/>
            <w:hideMark/>
          </w:tcPr>
          <w:p w14:paraId="3044B062" w14:textId="77777777" w:rsidR="008A3470" w:rsidRPr="004C2087" w:rsidRDefault="008A3470" w:rsidP="008A3470">
            <w:pPr>
              <w:spacing w:after="0"/>
              <w:jc w:val="right"/>
              <w:rPr>
                <w:rFonts w:ascii="Bookman Old Style" w:hAnsi="Bookman Old Style" w:cs="Calibri"/>
                <w:sz w:val="22"/>
                <w:szCs w:val="22"/>
                <w:lang w:eastAsia="en-GB"/>
              </w:rPr>
            </w:pPr>
          </w:p>
        </w:tc>
      </w:tr>
      <w:tr w:rsidR="008A3470" w:rsidRPr="008A3470" w14:paraId="05D9ABCC" w14:textId="77777777" w:rsidTr="00551FA8">
        <w:trPr>
          <w:trHeight w:val="304"/>
        </w:trPr>
        <w:tc>
          <w:tcPr>
            <w:tcW w:w="4259" w:type="dxa"/>
            <w:tcBorders>
              <w:top w:val="nil"/>
              <w:left w:val="single" w:sz="18" w:space="0" w:color="auto"/>
              <w:bottom w:val="nil"/>
              <w:right w:val="nil"/>
            </w:tcBorders>
            <w:shd w:val="clear" w:color="auto" w:fill="auto"/>
            <w:noWrap/>
            <w:vAlign w:val="bottom"/>
            <w:hideMark/>
          </w:tcPr>
          <w:p w14:paraId="74BA8816" w14:textId="77777777" w:rsidR="008A3470" w:rsidRPr="008A3470" w:rsidRDefault="008A3470" w:rsidP="008A3470">
            <w:pPr>
              <w:spacing w:after="0"/>
              <w:jc w:val="left"/>
              <w:rPr>
                <w:sz w:val="20"/>
                <w:szCs w:val="20"/>
                <w:lang w:eastAsia="en-GB"/>
              </w:rPr>
            </w:pPr>
          </w:p>
        </w:tc>
        <w:tc>
          <w:tcPr>
            <w:tcW w:w="1214" w:type="dxa"/>
            <w:tcBorders>
              <w:top w:val="nil"/>
              <w:left w:val="nil"/>
              <w:bottom w:val="nil"/>
              <w:right w:val="nil"/>
            </w:tcBorders>
            <w:shd w:val="clear" w:color="auto" w:fill="auto"/>
            <w:noWrap/>
            <w:vAlign w:val="bottom"/>
            <w:hideMark/>
          </w:tcPr>
          <w:p w14:paraId="33039720" w14:textId="77777777" w:rsidR="008A3470" w:rsidRPr="008A3470" w:rsidRDefault="008A3470" w:rsidP="008A3470">
            <w:pPr>
              <w:spacing w:after="0"/>
              <w:jc w:val="left"/>
              <w:rPr>
                <w:sz w:val="20"/>
                <w:szCs w:val="20"/>
                <w:lang w:eastAsia="en-GB"/>
              </w:rPr>
            </w:pPr>
          </w:p>
        </w:tc>
        <w:tc>
          <w:tcPr>
            <w:tcW w:w="2014" w:type="dxa"/>
            <w:tcBorders>
              <w:top w:val="nil"/>
              <w:left w:val="nil"/>
              <w:bottom w:val="nil"/>
              <w:right w:val="nil"/>
            </w:tcBorders>
            <w:shd w:val="clear" w:color="auto" w:fill="auto"/>
            <w:noWrap/>
            <w:vAlign w:val="bottom"/>
            <w:hideMark/>
          </w:tcPr>
          <w:p w14:paraId="2BC96617" w14:textId="77777777" w:rsidR="008A3470" w:rsidRPr="008A3470" w:rsidRDefault="008A3470" w:rsidP="008A3470">
            <w:pPr>
              <w:spacing w:after="0"/>
              <w:jc w:val="left"/>
              <w:rPr>
                <w:sz w:val="20"/>
                <w:szCs w:val="20"/>
                <w:lang w:eastAsia="en-GB"/>
              </w:rPr>
            </w:pPr>
          </w:p>
        </w:tc>
        <w:tc>
          <w:tcPr>
            <w:tcW w:w="1456" w:type="dxa"/>
            <w:tcBorders>
              <w:top w:val="nil"/>
              <w:left w:val="nil"/>
              <w:bottom w:val="nil"/>
              <w:right w:val="single" w:sz="18" w:space="0" w:color="auto"/>
            </w:tcBorders>
            <w:shd w:val="clear" w:color="auto" w:fill="auto"/>
            <w:noWrap/>
            <w:vAlign w:val="bottom"/>
            <w:hideMark/>
          </w:tcPr>
          <w:p w14:paraId="685E546C" w14:textId="77777777" w:rsidR="008A3470" w:rsidRPr="008A3470" w:rsidRDefault="008A3470" w:rsidP="008A3470">
            <w:pPr>
              <w:spacing w:after="0"/>
              <w:jc w:val="left"/>
              <w:rPr>
                <w:sz w:val="20"/>
                <w:szCs w:val="20"/>
                <w:lang w:eastAsia="en-GB"/>
              </w:rPr>
            </w:pPr>
          </w:p>
        </w:tc>
      </w:tr>
      <w:tr w:rsidR="008A3470" w:rsidRPr="008A3470" w14:paraId="350EAB3C" w14:textId="77777777" w:rsidTr="00551FA8">
        <w:trPr>
          <w:trHeight w:val="304"/>
        </w:trPr>
        <w:tc>
          <w:tcPr>
            <w:tcW w:w="4259" w:type="dxa"/>
            <w:tcBorders>
              <w:top w:val="nil"/>
              <w:left w:val="single" w:sz="18" w:space="0" w:color="auto"/>
              <w:bottom w:val="nil"/>
              <w:right w:val="nil"/>
            </w:tcBorders>
            <w:shd w:val="clear" w:color="auto" w:fill="D2CAB6" w:themeFill="background2" w:themeFillShade="E6"/>
            <w:noWrap/>
            <w:vAlign w:val="bottom"/>
            <w:hideMark/>
          </w:tcPr>
          <w:p w14:paraId="0AA06E8E" w14:textId="4ED5570C" w:rsidR="008A3470" w:rsidRPr="004C2087" w:rsidRDefault="00232F97" w:rsidP="008A3470">
            <w:pPr>
              <w:spacing w:after="0"/>
              <w:jc w:val="lef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 xml:space="preserve"> (2</w:t>
            </w:r>
            <w:r w:rsidR="008A3470" w:rsidRPr="004C2087">
              <w:rPr>
                <w:rFonts w:ascii="Bookman Old Style" w:hAnsi="Bookman Old Style"/>
                <w:b/>
                <w:bCs/>
                <w:color w:val="000000"/>
                <w:sz w:val="22"/>
                <w:szCs w:val="22"/>
                <w:lang w:eastAsia="en-GB"/>
              </w:rPr>
              <w:t xml:space="preserve">) </w:t>
            </w:r>
            <w:proofErr w:type="gramStart"/>
            <w:r w:rsidR="008A3470" w:rsidRPr="004C2087">
              <w:rPr>
                <w:rFonts w:ascii="Bookman Old Style" w:hAnsi="Bookman Old Style"/>
                <w:b/>
                <w:bCs/>
                <w:color w:val="000000"/>
                <w:sz w:val="22"/>
                <w:szCs w:val="22"/>
                <w:lang w:eastAsia="en-GB"/>
              </w:rPr>
              <w:t>Central  Bank</w:t>
            </w:r>
            <w:proofErr w:type="gramEnd"/>
          </w:p>
        </w:tc>
        <w:tc>
          <w:tcPr>
            <w:tcW w:w="1214" w:type="dxa"/>
            <w:tcBorders>
              <w:top w:val="nil"/>
              <w:left w:val="nil"/>
              <w:bottom w:val="nil"/>
              <w:right w:val="nil"/>
            </w:tcBorders>
            <w:shd w:val="clear" w:color="auto" w:fill="D2CAB6" w:themeFill="background2" w:themeFillShade="E6"/>
            <w:noWrap/>
            <w:vAlign w:val="bottom"/>
            <w:hideMark/>
          </w:tcPr>
          <w:p w14:paraId="47BDEEF7" w14:textId="77777777" w:rsidR="008A3470" w:rsidRPr="004C2087" w:rsidRDefault="008A3470" w:rsidP="008A3470">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416.72</w:t>
            </w:r>
          </w:p>
        </w:tc>
        <w:tc>
          <w:tcPr>
            <w:tcW w:w="2014" w:type="dxa"/>
            <w:tcBorders>
              <w:top w:val="nil"/>
              <w:left w:val="nil"/>
              <w:bottom w:val="nil"/>
              <w:right w:val="nil"/>
            </w:tcBorders>
            <w:shd w:val="clear" w:color="auto" w:fill="D2CAB6" w:themeFill="background2" w:themeFillShade="E6"/>
            <w:noWrap/>
            <w:vAlign w:val="bottom"/>
            <w:hideMark/>
          </w:tcPr>
          <w:p w14:paraId="5C85481B" w14:textId="77777777" w:rsidR="008A3470" w:rsidRPr="004C2087" w:rsidRDefault="008A3470" w:rsidP="008A3470">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969.16</w:t>
            </w:r>
          </w:p>
        </w:tc>
        <w:tc>
          <w:tcPr>
            <w:tcW w:w="1456" w:type="dxa"/>
            <w:tcBorders>
              <w:top w:val="nil"/>
              <w:left w:val="nil"/>
              <w:bottom w:val="nil"/>
              <w:right w:val="single" w:sz="18" w:space="0" w:color="auto"/>
            </w:tcBorders>
            <w:shd w:val="clear" w:color="auto" w:fill="D2CAB6" w:themeFill="background2" w:themeFillShade="E6"/>
            <w:noWrap/>
            <w:vAlign w:val="bottom"/>
            <w:hideMark/>
          </w:tcPr>
          <w:p w14:paraId="002C0D81" w14:textId="77777777" w:rsidR="008A3470" w:rsidRPr="004C2087" w:rsidRDefault="008A3470" w:rsidP="008A3470">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132.57</w:t>
            </w:r>
          </w:p>
        </w:tc>
      </w:tr>
      <w:tr w:rsidR="008A3470" w:rsidRPr="008A3470" w14:paraId="5D87E414" w14:textId="77777777" w:rsidTr="00551FA8">
        <w:trPr>
          <w:trHeight w:val="304"/>
        </w:trPr>
        <w:tc>
          <w:tcPr>
            <w:tcW w:w="4259" w:type="dxa"/>
            <w:tcBorders>
              <w:top w:val="nil"/>
              <w:left w:val="single" w:sz="18" w:space="0" w:color="auto"/>
              <w:bottom w:val="nil"/>
              <w:right w:val="nil"/>
            </w:tcBorders>
            <w:shd w:val="clear" w:color="auto" w:fill="auto"/>
            <w:noWrap/>
            <w:vAlign w:val="bottom"/>
            <w:hideMark/>
          </w:tcPr>
          <w:p w14:paraId="0ECBFE6F" w14:textId="77777777" w:rsidR="008A3470" w:rsidRPr="004C2087" w:rsidRDefault="008A3470" w:rsidP="008A3470">
            <w:pPr>
              <w:spacing w:after="0"/>
              <w:jc w:val="left"/>
              <w:rPr>
                <w:rFonts w:ascii="Bookman Old Style" w:hAnsi="Bookman Old Style" w:cs="Calibri"/>
                <w:sz w:val="22"/>
                <w:szCs w:val="22"/>
                <w:lang w:eastAsia="en-GB"/>
              </w:rPr>
            </w:pPr>
            <w:r w:rsidRPr="004C2087">
              <w:rPr>
                <w:rFonts w:ascii="Bookman Old Style" w:hAnsi="Bookman Old Style" w:cs="Calibri"/>
                <w:sz w:val="22"/>
                <w:szCs w:val="22"/>
                <w:lang w:eastAsia="en-GB"/>
              </w:rPr>
              <w:t xml:space="preserve">   (%) of total </w:t>
            </w:r>
          </w:p>
        </w:tc>
        <w:tc>
          <w:tcPr>
            <w:tcW w:w="1214" w:type="dxa"/>
            <w:tcBorders>
              <w:top w:val="nil"/>
              <w:left w:val="nil"/>
              <w:bottom w:val="nil"/>
              <w:right w:val="nil"/>
            </w:tcBorders>
            <w:shd w:val="clear" w:color="auto" w:fill="auto"/>
            <w:noWrap/>
            <w:vAlign w:val="bottom"/>
            <w:hideMark/>
          </w:tcPr>
          <w:p w14:paraId="42EC9DD3" w14:textId="77777777" w:rsidR="008A3470" w:rsidRPr="004C2087" w:rsidRDefault="008A3470" w:rsidP="008A3470">
            <w:pPr>
              <w:spacing w:after="0"/>
              <w:jc w:val="right"/>
              <w:rPr>
                <w:rFonts w:ascii="Bookman Old Style" w:hAnsi="Bookman Old Style" w:cs="Calibri"/>
                <w:sz w:val="22"/>
                <w:szCs w:val="22"/>
                <w:lang w:eastAsia="en-GB"/>
              </w:rPr>
            </w:pPr>
            <w:r w:rsidRPr="004C2087">
              <w:rPr>
                <w:rFonts w:ascii="Bookman Old Style" w:hAnsi="Bookman Old Style" w:cs="Calibri"/>
                <w:sz w:val="22"/>
                <w:szCs w:val="22"/>
                <w:lang w:eastAsia="en-GB"/>
              </w:rPr>
              <w:t>13.22</w:t>
            </w:r>
          </w:p>
        </w:tc>
        <w:tc>
          <w:tcPr>
            <w:tcW w:w="2014" w:type="dxa"/>
            <w:tcBorders>
              <w:top w:val="nil"/>
              <w:left w:val="nil"/>
              <w:bottom w:val="nil"/>
              <w:right w:val="nil"/>
            </w:tcBorders>
            <w:shd w:val="clear" w:color="auto" w:fill="auto"/>
            <w:noWrap/>
            <w:vAlign w:val="bottom"/>
            <w:hideMark/>
          </w:tcPr>
          <w:p w14:paraId="0A6F75A8" w14:textId="77777777" w:rsidR="008A3470" w:rsidRPr="004C2087" w:rsidRDefault="008A3470" w:rsidP="008A3470">
            <w:pPr>
              <w:spacing w:after="0"/>
              <w:jc w:val="right"/>
              <w:rPr>
                <w:rFonts w:ascii="Bookman Old Style" w:hAnsi="Bookman Old Style" w:cs="Calibri"/>
                <w:sz w:val="22"/>
                <w:szCs w:val="22"/>
                <w:lang w:eastAsia="en-GB"/>
              </w:rPr>
            </w:pPr>
            <w:r w:rsidRPr="004C2087">
              <w:rPr>
                <w:rFonts w:ascii="Bookman Old Style" w:hAnsi="Bookman Old Style" w:cs="Calibri"/>
                <w:sz w:val="22"/>
                <w:szCs w:val="22"/>
                <w:lang w:eastAsia="en-GB"/>
              </w:rPr>
              <w:t>27.02</w:t>
            </w:r>
          </w:p>
        </w:tc>
        <w:tc>
          <w:tcPr>
            <w:tcW w:w="1456" w:type="dxa"/>
            <w:tcBorders>
              <w:top w:val="nil"/>
              <w:left w:val="nil"/>
              <w:bottom w:val="nil"/>
              <w:right w:val="single" w:sz="18" w:space="0" w:color="auto"/>
            </w:tcBorders>
            <w:shd w:val="clear" w:color="auto" w:fill="auto"/>
            <w:noWrap/>
            <w:vAlign w:val="bottom"/>
            <w:hideMark/>
          </w:tcPr>
          <w:p w14:paraId="710164E0" w14:textId="77777777" w:rsidR="008A3470" w:rsidRPr="004C2087" w:rsidRDefault="008A3470" w:rsidP="008A3470">
            <w:pPr>
              <w:spacing w:after="0"/>
              <w:jc w:val="right"/>
              <w:rPr>
                <w:rFonts w:ascii="Bookman Old Style" w:hAnsi="Bookman Old Style" w:cs="Calibri"/>
                <w:sz w:val="22"/>
                <w:szCs w:val="22"/>
                <w:lang w:eastAsia="en-GB"/>
              </w:rPr>
            </w:pPr>
          </w:p>
        </w:tc>
      </w:tr>
      <w:tr w:rsidR="008A3470" w:rsidRPr="008A3470" w14:paraId="3DFFCC43" w14:textId="77777777" w:rsidTr="00551FA8">
        <w:trPr>
          <w:trHeight w:val="304"/>
        </w:trPr>
        <w:tc>
          <w:tcPr>
            <w:tcW w:w="4259" w:type="dxa"/>
            <w:tcBorders>
              <w:top w:val="nil"/>
              <w:left w:val="single" w:sz="18" w:space="0" w:color="auto"/>
              <w:bottom w:val="nil"/>
              <w:right w:val="nil"/>
            </w:tcBorders>
            <w:shd w:val="clear" w:color="auto" w:fill="auto"/>
            <w:noWrap/>
            <w:vAlign w:val="bottom"/>
            <w:hideMark/>
          </w:tcPr>
          <w:p w14:paraId="4145B319" w14:textId="77777777" w:rsidR="008A3470" w:rsidRPr="004C2087" w:rsidRDefault="008A3470" w:rsidP="008A3470">
            <w:pPr>
              <w:spacing w:after="0"/>
              <w:jc w:val="left"/>
              <w:rPr>
                <w:rFonts w:ascii="Bookman Old Style" w:hAnsi="Bookman Old Style"/>
                <w:b/>
                <w:bCs/>
                <w:color w:val="000000"/>
                <w:sz w:val="22"/>
                <w:szCs w:val="22"/>
                <w:lang w:eastAsia="en-GB"/>
              </w:rPr>
            </w:pPr>
          </w:p>
        </w:tc>
        <w:tc>
          <w:tcPr>
            <w:tcW w:w="1214" w:type="dxa"/>
            <w:tcBorders>
              <w:top w:val="nil"/>
              <w:left w:val="nil"/>
              <w:bottom w:val="nil"/>
              <w:right w:val="nil"/>
            </w:tcBorders>
            <w:shd w:val="clear" w:color="auto" w:fill="auto"/>
            <w:noWrap/>
            <w:vAlign w:val="bottom"/>
            <w:hideMark/>
          </w:tcPr>
          <w:p w14:paraId="29F4AC23" w14:textId="77777777" w:rsidR="008A3470" w:rsidRPr="004C2087" w:rsidRDefault="008A3470" w:rsidP="008A3470">
            <w:pPr>
              <w:spacing w:after="0"/>
              <w:jc w:val="left"/>
              <w:rPr>
                <w:rFonts w:ascii="Bookman Old Style" w:hAnsi="Bookman Old Style"/>
                <w:b/>
                <w:bCs/>
                <w:color w:val="000000"/>
                <w:sz w:val="22"/>
                <w:szCs w:val="22"/>
                <w:lang w:eastAsia="en-GB"/>
              </w:rPr>
            </w:pPr>
          </w:p>
        </w:tc>
        <w:tc>
          <w:tcPr>
            <w:tcW w:w="2014" w:type="dxa"/>
            <w:tcBorders>
              <w:top w:val="nil"/>
              <w:left w:val="nil"/>
              <w:bottom w:val="nil"/>
              <w:right w:val="nil"/>
            </w:tcBorders>
            <w:shd w:val="clear" w:color="auto" w:fill="auto"/>
            <w:noWrap/>
            <w:vAlign w:val="bottom"/>
            <w:hideMark/>
          </w:tcPr>
          <w:p w14:paraId="2A7C7D54" w14:textId="77777777" w:rsidR="008A3470" w:rsidRPr="004C2087" w:rsidRDefault="008A3470" w:rsidP="008A3470">
            <w:pPr>
              <w:spacing w:after="0"/>
              <w:jc w:val="left"/>
              <w:rPr>
                <w:rFonts w:ascii="Bookman Old Style" w:hAnsi="Bookman Old Style"/>
                <w:b/>
                <w:bCs/>
                <w:color w:val="000000"/>
                <w:sz w:val="22"/>
                <w:szCs w:val="22"/>
                <w:lang w:eastAsia="en-GB"/>
              </w:rPr>
            </w:pPr>
          </w:p>
        </w:tc>
        <w:tc>
          <w:tcPr>
            <w:tcW w:w="1456" w:type="dxa"/>
            <w:tcBorders>
              <w:top w:val="nil"/>
              <w:left w:val="nil"/>
              <w:bottom w:val="nil"/>
              <w:right w:val="single" w:sz="18" w:space="0" w:color="auto"/>
            </w:tcBorders>
            <w:shd w:val="clear" w:color="auto" w:fill="auto"/>
            <w:noWrap/>
            <w:vAlign w:val="bottom"/>
            <w:hideMark/>
          </w:tcPr>
          <w:p w14:paraId="04E0C55A" w14:textId="77777777" w:rsidR="008A3470" w:rsidRPr="004C2087" w:rsidRDefault="008A3470" w:rsidP="008A3470">
            <w:pPr>
              <w:spacing w:after="0"/>
              <w:jc w:val="left"/>
              <w:rPr>
                <w:rFonts w:ascii="Bookman Old Style" w:hAnsi="Bookman Old Style"/>
                <w:b/>
                <w:bCs/>
                <w:color w:val="000000"/>
                <w:sz w:val="22"/>
                <w:szCs w:val="22"/>
                <w:lang w:eastAsia="en-GB"/>
              </w:rPr>
            </w:pPr>
          </w:p>
        </w:tc>
      </w:tr>
      <w:tr w:rsidR="008A3470" w:rsidRPr="008A3470" w14:paraId="6804C8E4" w14:textId="77777777" w:rsidTr="00551FA8">
        <w:trPr>
          <w:trHeight w:val="304"/>
        </w:trPr>
        <w:tc>
          <w:tcPr>
            <w:tcW w:w="4259" w:type="dxa"/>
            <w:tcBorders>
              <w:top w:val="nil"/>
              <w:left w:val="single" w:sz="18" w:space="0" w:color="auto"/>
              <w:bottom w:val="single" w:sz="18" w:space="0" w:color="auto"/>
              <w:right w:val="nil"/>
            </w:tcBorders>
            <w:shd w:val="clear" w:color="auto" w:fill="D2CAB6" w:themeFill="background2" w:themeFillShade="E6"/>
            <w:noWrap/>
            <w:vAlign w:val="bottom"/>
            <w:hideMark/>
          </w:tcPr>
          <w:p w14:paraId="194BF385" w14:textId="0A198F46" w:rsidR="008A3470" w:rsidRPr="004C2087" w:rsidRDefault="00232F97" w:rsidP="00524F5C">
            <w:pPr>
              <w:spacing w:after="0"/>
              <w:jc w:val="lef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 xml:space="preserve"> Total </w:t>
            </w:r>
            <w:proofErr w:type="gramStart"/>
            <w:r w:rsidRPr="004C2087">
              <w:rPr>
                <w:rFonts w:ascii="Bookman Old Style" w:hAnsi="Bookman Old Style"/>
                <w:b/>
                <w:bCs/>
                <w:color w:val="000000"/>
                <w:sz w:val="22"/>
                <w:szCs w:val="22"/>
                <w:lang w:eastAsia="en-GB"/>
              </w:rPr>
              <w:t>External  (</w:t>
            </w:r>
            <w:proofErr w:type="gramEnd"/>
            <w:r w:rsidRPr="004C2087">
              <w:rPr>
                <w:rFonts w:ascii="Bookman Old Style" w:hAnsi="Bookman Old Style"/>
                <w:b/>
                <w:bCs/>
                <w:color w:val="000000"/>
                <w:sz w:val="22"/>
                <w:szCs w:val="22"/>
                <w:lang w:eastAsia="en-GB"/>
              </w:rPr>
              <w:t>1+2</w:t>
            </w:r>
            <w:r w:rsidR="008A3470" w:rsidRPr="004C2087">
              <w:rPr>
                <w:rFonts w:ascii="Bookman Old Style" w:hAnsi="Bookman Old Style"/>
                <w:b/>
                <w:bCs/>
                <w:color w:val="000000"/>
                <w:sz w:val="22"/>
                <w:szCs w:val="22"/>
                <w:lang w:eastAsia="en-GB"/>
              </w:rPr>
              <w:t>)</w:t>
            </w:r>
          </w:p>
        </w:tc>
        <w:tc>
          <w:tcPr>
            <w:tcW w:w="1214" w:type="dxa"/>
            <w:tcBorders>
              <w:top w:val="nil"/>
              <w:left w:val="nil"/>
              <w:bottom w:val="single" w:sz="18" w:space="0" w:color="auto"/>
              <w:right w:val="nil"/>
            </w:tcBorders>
            <w:shd w:val="clear" w:color="auto" w:fill="D2CAB6" w:themeFill="background2" w:themeFillShade="E6"/>
            <w:noWrap/>
            <w:vAlign w:val="bottom"/>
            <w:hideMark/>
          </w:tcPr>
          <w:p w14:paraId="11C9EC3E" w14:textId="3F1BAB7E" w:rsidR="008A3470" w:rsidRPr="004C2087" w:rsidRDefault="00234986" w:rsidP="00524F5C">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3,151.78</w:t>
            </w:r>
          </w:p>
        </w:tc>
        <w:tc>
          <w:tcPr>
            <w:tcW w:w="2014" w:type="dxa"/>
            <w:tcBorders>
              <w:top w:val="nil"/>
              <w:left w:val="nil"/>
              <w:bottom w:val="single" w:sz="18" w:space="0" w:color="auto"/>
              <w:right w:val="nil"/>
            </w:tcBorders>
            <w:shd w:val="clear" w:color="auto" w:fill="D2CAB6" w:themeFill="background2" w:themeFillShade="E6"/>
            <w:noWrap/>
            <w:vAlign w:val="bottom"/>
            <w:hideMark/>
          </w:tcPr>
          <w:p w14:paraId="0A78BF79" w14:textId="77777777" w:rsidR="008A3470" w:rsidRPr="004C2087" w:rsidRDefault="008A3470" w:rsidP="00524F5C">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3,586.78</w:t>
            </w:r>
          </w:p>
        </w:tc>
        <w:tc>
          <w:tcPr>
            <w:tcW w:w="1456" w:type="dxa"/>
            <w:tcBorders>
              <w:top w:val="nil"/>
              <w:left w:val="nil"/>
              <w:bottom w:val="single" w:sz="18" w:space="0" w:color="auto"/>
              <w:right w:val="single" w:sz="18" w:space="0" w:color="auto"/>
            </w:tcBorders>
            <w:shd w:val="clear" w:color="auto" w:fill="D2CAB6" w:themeFill="background2" w:themeFillShade="E6"/>
            <w:noWrap/>
            <w:vAlign w:val="bottom"/>
            <w:hideMark/>
          </w:tcPr>
          <w:p w14:paraId="55563A3B" w14:textId="4F6F9193" w:rsidR="008A3470" w:rsidRPr="004C2087" w:rsidRDefault="00234986" w:rsidP="00524F5C">
            <w:pPr>
              <w:spacing w:after="0"/>
              <w:jc w:val="right"/>
              <w:rPr>
                <w:rFonts w:ascii="Bookman Old Style" w:hAnsi="Bookman Old Style"/>
                <w:b/>
                <w:bCs/>
                <w:color w:val="000000"/>
                <w:sz w:val="22"/>
                <w:szCs w:val="22"/>
                <w:lang w:eastAsia="en-GB"/>
              </w:rPr>
            </w:pPr>
            <w:r w:rsidRPr="004C2087">
              <w:rPr>
                <w:rFonts w:ascii="Bookman Old Style" w:hAnsi="Bookman Old Style"/>
                <w:b/>
                <w:bCs/>
                <w:color w:val="000000"/>
                <w:sz w:val="22"/>
                <w:szCs w:val="22"/>
                <w:lang w:eastAsia="en-GB"/>
              </w:rPr>
              <w:t>13.80</w:t>
            </w:r>
          </w:p>
        </w:tc>
      </w:tr>
    </w:tbl>
    <w:p w14:paraId="4204FE80" w14:textId="77777777" w:rsidR="00524F5C" w:rsidRDefault="00524F5C" w:rsidP="00524F5C">
      <w:pPr>
        <w:rPr>
          <w:rFonts w:ascii="Bookman Old Style" w:hAnsi="Bookman Old Style"/>
          <w:lang w:val="en-US"/>
        </w:rPr>
      </w:pPr>
    </w:p>
    <w:p w14:paraId="54650802" w14:textId="6FD98DDA" w:rsidR="00D305EA" w:rsidRDefault="008A3470" w:rsidP="00807C0D">
      <w:pPr>
        <w:rPr>
          <w:rFonts w:ascii="Bookman Old Style" w:hAnsi="Bookman Old Style"/>
          <w:lang w:val="en-US"/>
        </w:rPr>
      </w:pPr>
      <w:r>
        <w:rPr>
          <w:rFonts w:ascii="Bookman Old Style" w:hAnsi="Bookman Old Style"/>
          <w:lang w:val="en-US"/>
        </w:rPr>
        <w:t>Source</w:t>
      </w:r>
      <w:r w:rsidR="0042692A">
        <w:rPr>
          <w:rFonts w:ascii="Bookman Old Style" w:hAnsi="Bookman Old Style"/>
          <w:lang w:val="en-US"/>
        </w:rPr>
        <w:t>s</w:t>
      </w:r>
      <w:r>
        <w:rPr>
          <w:rFonts w:ascii="Bookman Old Style" w:hAnsi="Bookman Old Style"/>
          <w:lang w:val="en-US"/>
        </w:rPr>
        <w:t xml:space="preserve">: </w:t>
      </w:r>
      <w:r w:rsidR="0042692A">
        <w:rPr>
          <w:rFonts w:ascii="Bookman Old Style" w:hAnsi="Bookman Old Style"/>
          <w:lang w:val="en-US"/>
        </w:rPr>
        <w:t xml:space="preserve"> MoF staff calculations.</w:t>
      </w:r>
    </w:p>
    <w:p w14:paraId="0823C6E1" w14:textId="1EF91C6D" w:rsidR="00807C0D" w:rsidRDefault="00807C0D" w:rsidP="00807C0D">
      <w:pPr>
        <w:rPr>
          <w:rFonts w:ascii="Bookman Old Style" w:hAnsi="Bookman Old Style"/>
          <w:lang w:val="en-US"/>
        </w:rPr>
      </w:pPr>
    </w:p>
    <w:p w14:paraId="55C44F4C" w14:textId="6212257B" w:rsidR="00807C0D" w:rsidRDefault="00807C0D" w:rsidP="00807C0D">
      <w:pPr>
        <w:rPr>
          <w:rFonts w:ascii="Bookman Old Style" w:hAnsi="Bookman Old Style"/>
          <w:lang w:val="en-US"/>
        </w:rPr>
      </w:pPr>
    </w:p>
    <w:p w14:paraId="6D34C13D" w14:textId="77777777" w:rsidR="000219C6" w:rsidRPr="00807C0D" w:rsidRDefault="000219C6" w:rsidP="00807C0D">
      <w:pPr>
        <w:rPr>
          <w:rFonts w:ascii="Bookman Old Style" w:hAnsi="Bookman Old Style"/>
          <w:lang w:val="en-US"/>
        </w:rPr>
      </w:pPr>
    </w:p>
    <w:p w14:paraId="69876F07" w14:textId="0CDB4F69" w:rsidR="0021011A" w:rsidRDefault="0021011A" w:rsidP="00D305EA">
      <w:pPr>
        <w:pStyle w:val="Heading2"/>
      </w:pPr>
      <w:bookmarkStart w:id="48" w:name="_Toc88660849"/>
      <w:r>
        <w:lastRenderedPageBreak/>
        <w:t>3.</w:t>
      </w:r>
      <w:r w:rsidR="007221FA">
        <w:t>2</w:t>
      </w:r>
      <w:r w:rsidRPr="00C116C2">
        <w:t xml:space="preserve"> </w:t>
      </w:r>
      <w:r w:rsidRPr="00B70677">
        <w:t>External</w:t>
      </w:r>
      <w:r w:rsidRPr="00C116C2">
        <w:t xml:space="preserve"> Debt by </w:t>
      </w:r>
      <w:r w:rsidR="00BC7458">
        <w:t>Creditor</w:t>
      </w:r>
      <w:bookmarkEnd w:id="48"/>
    </w:p>
    <w:p w14:paraId="73642E6E" w14:textId="3605C5F2" w:rsidR="00D305EA" w:rsidRDefault="00D305EA" w:rsidP="00D305EA">
      <w:pPr>
        <w:tabs>
          <w:tab w:val="left" w:pos="2089"/>
        </w:tabs>
        <w:spacing w:after="0" w:line="360" w:lineRule="auto"/>
        <w:rPr>
          <w:rFonts w:ascii="Bookman Old Style" w:hAnsi="Bookman Old Style"/>
        </w:rPr>
      </w:pPr>
    </w:p>
    <w:p w14:paraId="20518EFC" w14:textId="750EDD9A" w:rsidR="00D305EA" w:rsidRPr="00807C0D" w:rsidRDefault="00B1311F" w:rsidP="00807C0D">
      <w:pPr>
        <w:spacing w:after="0" w:line="360" w:lineRule="auto"/>
        <w:rPr>
          <w:rFonts w:ascii="Bookman Old Style" w:hAnsi="Bookman Old Style"/>
        </w:rPr>
      </w:pPr>
      <w:r>
        <w:rPr>
          <w:rFonts w:ascii="Bookman Old Style" w:hAnsi="Bookman Old Style"/>
        </w:rPr>
        <w:t>At a holding of USD</w:t>
      </w:r>
      <w:r w:rsidR="008569BF" w:rsidRPr="006B19B0">
        <w:rPr>
          <w:rFonts w:ascii="Bookman Old Style" w:hAnsi="Bookman Old Style"/>
        </w:rPr>
        <w:t>1</w:t>
      </w:r>
      <w:r w:rsidR="001D2408">
        <w:rPr>
          <w:rFonts w:ascii="Bookman Old Style" w:hAnsi="Bookman Old Style"/>
        </w:rPr>
        <w:t>,</w:t>
      </w:r>
      <w:r w:rsidR="001D2408" w:rsidRPr="006B19B0">
        <w:rPr>
          <w:rFonts w:ascii="Bookman Old Style" w:hAnsi="Bookman Old Style"/>
        </w:rPr>
        <w:t>161.78</w:t>
      </w:r>
      <w:r w:rsidR="008569BF">
        <w:rPr>
          <w:rFonts w:ascii="Bookman Old Style" w:hAnsi="Bookman Old Style"/>
        </w:rPr>
        <w:t xml:space="preserve"> </w:t>
      </w:r>
      <w:r w:rsidR="008569BF" w:rsidRPr="008569BF">
        <w:rPr>
          <w:rFonts w:ascii="Bookman Old Style" w:hAnsi="Bookman Old Style"/>
        </w:rPr>
        <w:t>million</w:t>
      </w:r>
      <w:r w:rsidR="008569BF">
        <w:rPr>
          <w:rFonts w:ascii="Bookman Old Style" w:hAnsi="Bookman Old Style"/>
        </w:rPr>
        <w:t xml:space="preserve"> (</w:t>
      </w:r>
      <w:r>
        <w:rPr>
          <w:rFonts w:ascii="Bookman Old Style" w:hAnsi="Bookman Old Style"/>
        </w:rPr>
        <w:t>32 percent of total external debt)</w:t>
      </w:r>
      <w:r w:rsidR="008569BF">
        <w:rPr>
          <w:rFonts w:ascii="Bookman Old Style" w:hAnsi="Bookman Old Style"/>
        </w:rPr>
        <w:t>,</w:t>
      </w:r>
      <w:r w:rsidR="008569BF">
        <w:rPr>
          <w:rFonts w:ascii="Bookman Old Style" w:hAnsi="Bookman Old Style" w:cs="Calibri"/>
          <w:color w:val="000000"/>
          <w:sz w:val="22"/>
          <w:szCs w:val="22"/>
          <w:lang w:eastAsia="en-GB"/>
        </w:rPr>
        <w:t xml:space="preserve"> </w:t>
      </w:r>
      <w:r w:rsidR="008569BF">
        <w:rPr>
          <w:rFonts w:ascii="Bookman Old Style" w:hAnsi="Bookman Old Style"/>
        </w:rPr>
        <w:t>t</w:t>
      </w:r>
      <w:r w:rsidR="0024402C">
        <w:rPr>
          <w:rFonts w:ascii="Bookman Old Style" w:hAnsi="Bookman Old Style"/>
        </w:rPr>
        <w:t xml:space="preserve">he </w:t>
      </w:r>
      <w:r w:rsidR="0021011A">
        <w:rPr>
          <w:rFonts w:ascii="Bookman Old Style" w:hAnsi="Bookman Old Style"/>
        </w:rPr>
        <w:t>International Development Association (</w:t>
      </w:r>
      <w:r w:rsidR="0021011A" w:rsidRPr="007314EA">
        <w:rPr>
          <w:rFonts w:ascii="Bookman Old Style" w:hAnsi="Bookman Old Style"/>
        </w:rPr>
        <w:t>IDA</w:t>
      </w:r>
      <w:r w:rsidR="0021011A">
        <w:rPr>
          <w:rFonts w:ascii="Bookman Old Style" w:hAnsi="Bookman Old Style"/>
        </w:rPr>
        <w:t>)</w:t>
      </w:r>
      <w:r w:rsidR="0021011A" w:rsidRPr="007314EA">
        <w:rPr>
          <w:rFonts w:ascii="Bookman Old Style" w:hAnsi="Bookman Old Style"/>
        </w:rPr>
        <w:t xml:space="preserve"> </w:t>
      </w:r>
      <w:r w:rsidR="0024402C">
        <w:rPr>
          <w:rFonts w:ascii="Bookman Old Style" w:hAnsi="Bookman Old Style"/>
        </w:rPr>
        <w:t xml:space="preserve">continues to be </w:t>
      </w:r>
      <w:r w:rsidR="0021011A" w:rsidRPr="007314EA">
        <w:rPr>
          <w:rFonts w:ascii="Bookman Old Style" w:hAnsi="Bookman Old Style"/>
        </w:rPr>
        <w:t>the largest creditor to the Government of Malawi</w:t>
      </w:r>
      <w:r w:rsidR="0021011A">
        <w:rPr>
          <w:rFonts w:ascii="Bookman Old Style" w:hAnsi="Bookman Old Style"/>
        </w:rPr>
        <w:t>. The second largest creditor is</w:t>
      </w:r>
      <w:r w:rsidR="001D2408">
        <w:rPr>
          <w:rFonts w:ascii="Bookman Old Style" w:hAnsi="Bookman Old Style"/>
        </w:rPr>
        <w:t xml:space="preserve"> AFREXIM</w:t>
      </w:r>
      <w:r w:rsidRPr="0027378F">
        <w:rPr>
          <w:rFonts w:ascii="Bookman Old Style" w:hAnsi="Bookman Old Style"/>
        </w:rPr>
        <w:t xml:space="preserve"> Bank with a holding of USD 644.62 million (18 percent of total external debt) followed by African</w:t>
      </w:r>
      <w:r w:rsidR="0021011A" w:rsidRPr="007314EA">
        <w:rPr>
          <w:rFonts w:ascii="Bookman Old Style" w:hAnsi="Bookman Old Style"/>
        </w:rPr>
        <w:t xml:space="preserve"> Development Fund</w:t>
      </w:r>
      <w:r w:rsidR="0021011A">
        <w:rPr>
          <w:rFonts w:ascii="Bookman Old Style" w:hAnsi="Bookman Old Style"/>
        </w:rPr>
        <w:t xml:space="preserve"> (ADF</w:t>
      </w:r>
      <w:r>
        <w:rPr>
          <w:rFonts w:ascii="Bookman Old Style" w:hAnsi="Bookman Old Style"/>
        </w:rPr>
        <w:t xml:space="preserve">) </w:t>
      </w:r>
      <w:r w:rsidR="00D50867">
        <w:rPr>
          <w:rFonts w:ascii="Bookman Old Style" w:hAnsi="Bookman Old Style"/>
        </w:rPr>
        <w:t xml:space="preserve">and </w:t>
      </w:r>
      <w:r w:rsidR="000219C6">
        <w:rPr>
          <w:rFonts w:ascii="Bookman Old Style" w:hAnsi="Bookman Old Style"/>
        </w:rPr>
        <w:t>International Monetary Fund (</w:t>
      </w:r>
      <w:r w:rsidR="00D50867">
        <w:rPr>
          <w:rFonts w:ascii="Bookman Old Style" w:hAnsi="Bookman Old Style"/>
        </w:rPr>
        <w:t>IMF</w:t>
      </w:r>
      <w:r w:rsidR="000219C6">
        <w:rPr>
          <w:rFonts w:ascii="Bookman Old Style" w:hAnsi="Bookman Old Style"/>
        </w:rPr>
        <w:t>)</w:t>
      </w:r>
      <w:r w:rsidR="00D50867">
        <w:rPr>
          <w:rFonts w:ascii="Bookman Old Style" w:hAnsi="Bookman Old Style"/>
        </w:rPr>
        <w:t xml:space="preserve"> at</w:t>
      </w:r>
      <w:r>
        <w:rPr>
          <w:rFonts w:ascii="Bookman Old Style" w:hAnsi="Bookman Old Style"/>
        </w:rPr>
        <w:t xml:space="preserve"> 12</w:t>
      </w:r>
      <w:r w:rsidR="0021011A">
        <w:rPr>
          <w:rFonts w:ascii="Bookman Old Style" w:hAnsi="Bookman Old Style"/>
        </w:rPr>
        <w:t xml:space="preserve"> percent. T</w:t>
      </w:r>
      <w:r w:rsidR="0021011A" w:rsidRPr="007314EA">
        <w:rPr>
          <w:rFonts w:ascii="Bookman Old Style" w:hAnsi="Bookman Old Style"/>
        </w:rPr>
        <w:t xml:space="preserve">he </w:t>
      </w:r>
      <w:r w:rsidR="0021011A">
        <w:rPr>
          <w:rFonts w:ascii="Bookman Old Style" w:hAnsi="Bookman Old Style"/>
        </w:rPr>
        <w:t>Export-Import Bank of China and</w:t>
      </w:r>
      <w:r w:rsidR="0021011A" w:rsidRPr="001A64CD">
        <w:rPr>
          <w:rFonts w:ascii="Bookman Old Style" w:hAnsi="Bookman Old Style"/>
        </w:rPr>
        <w:t xml:space="preserve"> </w:t>
      </w:r>
      <w:r w:rsidR="0021011A">
        <w:rPr>
          <w:rFonts w:ascii="Bookman Old Style" w:hAnsi="Bookman Old Style"/>
        </w:rPr>
        <w:t>Export-Impo</w:t>
      </w:r>
      <w:r>
        <w:rPr>
          <w:rFonts w:ascii="Bookman Old Style" w:hAnsi="Bookman Old Style"/>
        </w:rPr>
        <w:t>rt Bank of India accounted for 7 percent and 4</w:t>
      </w:r>
      <w:r w:rsidR="0021011A">
        <w:rPr>
          <w:rFonts w:ascii="Bookman Old Style" w:hAnsi="Bookman Old Style"/>
        </w:rPr>
        <w:t xml:space="preserve"> percent, respectively.</w:t>
      </w:r>
      <w:r w:rsidR="0021011A" w:rsidRPr="007314EA">
        <w:rPr>
          <w:rFonts w:ascii="Bookman Old Style" w:hAnsi="Bookman Old Style"/>
        </w:rPr>
        <w:t xml:space="preserve"> </w:t>
      </w:r>
      <w:r>
        <w:rPr>
          <w:rFonts w:ascii="Bookman Old Style" w:hAnsi="Bookman Old Style"/>
        </w:rPr>
        <w:t xml:space="preserve"> This </w:t>
      </w:r>
      <w:r w:rsidR="002C01CD">
        <w:rPr>
          <w:rFonts w:ascii="Bookman Old Style" w:hAnsi="Bookman Old Style"/>
        </w:rPr>
        <w:t xml:space="preserve">ranking has largely remained the same compared </w:t>
      </w:r>
      <w:r w:rsidR="000219C6">
        <w:rPr>
          <w:rFonts w:ascii="Bookman Old Style" w:hAnsi="Bookman Old Style"/>
        </w:rPr>
        <w:t xml:space="preserve">with </w:t>
      </w:r>
      <w:r w:rsidR="002C01CD">
        <w:rPr>
          <w:rFonts w:ascii="Bookman Old Style" w:hAnsi="Bookman Old Style"/>
        </w:rPr>
        <w:t>June 2020.</w:t>
      </w:r>
    </w:p>
    <w:p w14:paraId="788A257E" w14:textId="77777777" w:rsidR="00D305EA" w:rsidRDefault="00D305EA" w:rsidP="00D305EA">
      <w:pPr>
        <w:tabs>
          <w:tab w:val="left" w:pos="2126"/>
        </w:tabs>
        <w:spacing w:after="0" w:line="360" w:lineRule="auto"/>
        <w:rPr>
          <w:rFonts w:ascii="Bookman Old Style" w:hAnsi="Bookman Old Style"/>
          <w:b/>
        </w:rPr>
      </w:pPr>
    </w:p>
    <w:p w14:paraId="04C37910" w14:textId="5634D5D2" w:rsidR="002F31F6" w:rsidRPr="00B80999" w:rsidRDefault="00B80999" w:rsidP="00B80999">
      <w:pPr>
        <w:pStyle w:val="Caption"/>
        <w:keepNext/>
        <w:jc w:val="both"/>
        <w:rPr>
          <w:rFonts w:ascii="Bookman Old Style" w:hAnsi="Bookman Old Style"/>
          <w:sz w:val="24"/>
          <w:szCs w:val="24"/>
        </w:rPr>
      </w:pPr>
      <w:bookmarkStart w:id="49" w:name="_Toc88660890"/>
      <w:r w:rsidRPr="00B80999">
        <w:rPr>
          <w:rFonts w:ascii="Bookman Old Style" w:hAnsi="Bookman Old Style"/>
          <w:sz w:val="24"/>
          <w:szCs w:val="24"/>
        </w:rPr>
        <w:t xml:space="preserve">Table </w:t>
      </w:r>
      <w:r w:rsidRPr="00B80999">
        <w:rPr>
          <w:rFonts w:ascii="Bookman Old Style" w:hAnsi="Bookman Old Style"/>
          <w:sz w:val="24"/>
          <w:szCs w:val="24"/>
        </w:rPr>
        <w:fldChar w:fldCharType="begin"/>
      </w:r>
      <w:r w:rsidRPr="00B80999">
        <w:rPr>
          <w:rFonts w:ascii="Bookman Old Style" w:hAnsi="Bookman Old Style"/>
          <w:sz w:val="24"/>
          <w:szCs w:val="24"/>
        </w:rPr>
        <w:instrText xml:space="preserve"> SEQ Table \* ARABIC </w:instrText>
      </w:r>
      <w:r w:rsidRPr="00B80999">
        <w:rPr>
          <w:rFonts w:ascii="Bookman Old Style" w:hAnsi="Bookman Old Style"/>
          <w:sz w:val="24"/>
          <w:szCs w:val="24"/>
        </w:rPr>
        <w:fldChar w:fldCharType="separate"/>
      </w:r>
      <w:r w:rsidR="00924FE2">
        <w:rPr>
          <w:rFonts w:ascii="Bookman Old Style" w:hAnsi="Bookman Old Style"/>
          <w:noProof/>
          <w:sz w:val="24"/>
          <w:szCs w:val="24"/>
        </w:rPr>
        <w:t>4</w:t>
      </w:r>
      <w:r w:rsidRPr="00B80999">
        <w:rPr>
          <w:rFonts w:ascii="Bookman Old Style" w:hAnsi="Bookman Old Style"/>
          <w:sz w:val="24"/>
          <w:szCs w:val="24"/>
        </w:rPr>
        <w:fldChar w:fldCharType="end"/>
      </w:r>
      <w:r w:rsidRPr="00B80999">
        <w:rPr>
          <w:rFonts w:ascii="Bookman Old Style" w:hAnsi="Bookman Old Style"/>
          <w:sz w:val="24"/>
          <w:szCs w:val="24"/>
        </w:rPr>
        <w:t xml:space="preserve">: Total External Debt Stock, by </w:t>
      </w:r>
      <w:r w:rsidR="00BC7458">
        <w:rPr>
          <w:rFonts w:ascii="Bookman Old Style" w:hAnsi="Bookman Old Style"/>
          <w:sz w:val="24"/>
          <w:szCs w:val="24"/>
        </w:rPr>
        <w:t xml:space="preserve">Creditor and </w:t>
      </w:r>
      <w:r w:rsidRPr="00B80999">
        <w:rPr>
          <w:rFonts w:ascii="Bookman Old Style" w:hAnsi="Bookman Old Style"/>
          <w:sz w:val="24"/>
          <w:szCs w:val="24"/>
        </w:rPr>
        <w:t xml:space="preserve">Creditor Category </w:t>
      </w:r>
      <w:r w:rsidR="003D13CC" w:rsidRPr="00B80999">
        <w:rPr>
          <w:rFonts w:ascii="Bookman Old Style" w:hAnsi="Bookman Old Style"/>
          <w:sz w:val="24"/>
          <w:szCs w:val="24"/>
        </w:rPr>
        <w:t>as</w:t>
      </w:r>
      <w:r w:rsidRPr="00B80999">
        <w:rPr>
          <w:rFonts w:ascii="Bookman Old Style" w:hAnsi="Bookman Old Style"/>
          <w:sz w:val="24"/>
          <w:szCs w:val="24"/>
        </w:rPr>
        <w:t xml:space="preserve"> at end-June 2020 and 2021</w:t>
      </w:r>
      <w:bookmarkEnd w:id="49"/>
    </w:p>
    <w:tbl>
      <w:tblPr>
        <w:tblW w:w="8964" w:type="dxa"/>
        <w:tblLook w:val="04A0" w:firstRow="1" w:lastRow="0" w:firstColumn="1" w:lastColumn="0" w:noHBand="0" w:noVBand="1"/>
      </w:tblPr>
      <w:tblGrid>
        <w:gridCol w:w="5487"/>
        <w:gridCol w:w="1194"/>
        <w:gridCol w:w="1194"/>
        <w:gridCol w:w="1089"/>
      </w:tblGrid>
      <w:tr w:rsidR="00D305EA" w:rsidRPr="002F31F6" w14:paraId="378C28B7" w14:textId="77777777" w:rsidTr="00807C0D">
        <w:trPr>
          <w:trHeight w:val="565"/>
        </w:trPr>
        <w:tc>
          <w:tcPr>
            <w:tcW w:w="5487" w:type="dxa"/>
            <w:tcBorders>
              <w:top w:val="single" w:sz="18" w:space="0" w:color="auto"/>
              <w:left w:val="single" w:sz="18" w:space="0" w:color="auto"/>
              <w:bottom w:val="single" w:sz="18" w:space="0" w:color="auto"/>
              <w:right w:val="nil"/>
            </w:tcBorders>
            <w:shd w:val="clear" w:color="auto" w:fill="B3D5AB" w:themeFill="accent4" w:themeFillTint="66"/>
            <w:noWrap/>
            <w:vAlign w:val="center"/>
            <w:hideMark/>
          </w:tcPr>
          <w:p w14:paraId="7C16CDA5" w14:textId="77777777" w:rsidR="00D305EA" w:rsidRPr="002F31F6" w:rsidRDefault="00D305EA" w:rsidP="00D305EA">
            <w:pPr>
              <w:spacing w:after="0"/>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 xml:space="preserve">Creditor </w:t>
            </w:r>
          </w:p>
        </w:tc>
        <w:tc>
          <w:tcPr>
            <w:tcW w:w="1194" w:type="dxa"/>
            <w:tcBorders>
              <w:top w:val="single" w:sz="18" w:space="0" w:color="auto"/>
              <w:left w:val="nil"/>
              <w:bottom w:val="single" w:sz="18" w:space="0" w:color="auto"/>
              <w:right w:val="nil"/>
            </w:tcBorders>
            <w:shd w:val="clear" w:color="auto" w:fill="B3D5AB" w:themeFill="accent4" w:themeFillTint="66"/>
            <w:noWrap/>
            <w:vAlign w:val="center"/>
            <w:hideMark/>
          </w:tcPr>
          <w:p w14:paraId="11DC25A9" w14:textId="77777777" w:rsidR="00D305EA" w:rsidRPr="002F31F6" w:rsidRDefault="00D305EA" w:rsidP="00D305EA">
            <w:pPr>
              <w:spacing w:after="0"/>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Jun-20</w:t>
            </w:r>
          </w:p>
        </w:tc>
        <w:tc>
          <w:tcPr>
            <w:tcW w:w="1194" w:type="dxa"/>
            <w:tcBorders>
              <w:top w:val="single" w:sz="18" w:space="0" w:color="auto"/>
              <w:left w:val="nil"/>
              <w:bottom w:val="single" w:sz="18" w:space="0" w:color="auto"/>
              <w:right w:val="nil"/>
            </w:tcBorders>
            <w:shd w:val="clear" w:color="auto" w:fill="B3D5AB" w:themeFill="accent4" w:themeFillTint="66"/>
            <w:noWrap/>
            <w:vAlign w:val="center"/>
            <w:hideMark/>
          </w:tcPr>
          <w:p w14:paraId="459D7B78" w14:textId="77777777" w:rsidR="00D305EA" w:rsidRPr="002F31F6" w:rsidRDefault="00D305EA" w:rsidP="00D305EA">
            <w:pPr>
              <w:spacing w:after="0"/>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Jun-21</w:t>
            </w:r>
          </w:p>
        </w:tc>
        <w:tc>
          <w:tcPr>
            <w:tcW w:w="1089" w:type="dxa"/>
            <w:tcBorders>
              <w:top w:val="single" w:sz="18" w:space="0" w:color="auto"/>
              <w:left w:val="nil"/>
              <w:bottom w:val="single" w:sz="18" w:space="0" w:color="auto"/>
              <w:right w:val="single" w:sz="18" w:space="0" w:color="auto"/>
            </w:tcBorders>
            <w:shd w:val="clear" w:color="auto" w:fill="B3D5AB" w:themeFill="accent4" w:themeFillTint="66"/>
            <w:vAlign w:val="center"/>
            <w:hideMark/>
          </w:tcPr>
          <w:p w14:paraId="4596717A" w14:textId="77777777" w:rsidR="00D305EA" w:rsidRPr="002F31F6" w:rsidRDefault="00D305EA" w:rsidP="00D305EA">
            <w:pPr>
              <w:spacing w:after="0"/>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 Change</w:t>
            </w:r>
          </w:p>
        </w:tc>
      </w:tr>
      <w:tr w:rsidR="00D305EA" w:rsidRPr="002F31F6" w14:paraId="61494002" w14:textId="77777777" w:rsidTr="00807C0D">
        <w:trPr>
          <w:trHeight w:val="287"/>
        </w:trPr>
        <w:tc>
          <w:tcPr>
            <w:tcW w:w="5487" w:type="dxa"/>
            <w:tcBorders>
              <w:top w:val="single" w:sz="18" w:space="0" w:color="auto"/>
              <w:left w:val="single" w:sz="18" w:space="0" w:color="auto"/>
              <w:bottom w:val="nil"/>
              <w:right w:val="nil"/>
            </w:tcBorders>
            <w:shd w:val="clear" w:color="auto" w:fill="D2CAB6" w:themeFill="background2" w:themeFillShade="E6"/>
            <w:noWrap/>
            <w:vAlign w:val="center"/>
            <w:hideMark/>
          </w:tcPr>
          <w:p w14:paraId="1702D4B1" w14:textId="77777777" w:rsidR="00D305EA" w:rsidRPr="002F31F6" w:rsidRDefault="00D305EA" w:rsidP="00D305EA">
            <w:pPr>
              <w:spacing w:after="0"/>
              <w:jc w:val="lef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1.Bilateral</w:t>
            </w:r>
          </w:p>
        </w:tc>
        <w:tc>
          <w:tcPr>
            <w:tcW w:w="1194" w:type="dxa"/>
            <w:tcBorders>
              <w:top w:val="single" w:sz="18" w:space="0" w:color="auto"/>
              <w:left w:val="nil"/>
              <w:bottom w:val="nil"/>
              <w:right w:val="nil"/>
            </w:tcBorders>
            <w:shd w:val="clear" w:color="auto" w:fill="D2CAB6" w:themeFill="background2" w:themeFillShade="E6"/>
            <w:noWrap/>
            <w:vAlign w:val="center"/>
            <w:hideMark/>
          </w:tcPr>
          <w:p w14:paraId="62A64677"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406.82</w:t>
            </w:r>
          </w:p>
        </w:tc>
        <w:tc>
          <w:tcPr>
            <w:tcW w:w="1194" w:type="dxa"/>
            <w:tcBorders>
              <w:top w:val="single" w:sz="18" w:space="0" w:color="auto"/>
              <w:left w:val="nil"/>
              <w:bottom w:val="nil"/>
              <w:right w:val="nil"/>
            </w:tcBorders>
            <w:shd w:val="clear" w:color="auto" w:fill="D2CAB6" w:themeFill="background2" w:themeFillShade="E6"/>
            <w:noWrap/>
            <w:vAlign w:val="center"/>
            <w:hideMark/>
          </w:tcPr>
          <w:p w14:paraId="1FEA3DF7"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445.46</w:t>
            </w:r>
          </w:p>
        </w:tc>
        <w:tc>
          <w:tcPr>
            <w:tcW w:w="1089" w:type="dxa"/>
            <w:tcBorders>
              <w:top w:val="single" w:sz="18" w:space="0" w:color="auto"/>
              <w:left w:val="nil"/>
              <w:bottom w:val="nil"/>
              <w:right w:val="single" w:sz="18" w:space="0" w:color="auto"/>
            </w:tcBorders>
            <w:shd w:val="clear" w:color="auto" w:fill="D2CAB6" w:themeFill="background2" w:themeFillShade="E6"/>
            <w:noWrap/>
            <w:vAlign w:val="center"/>
            <w:hideMark/>
          </w:tcPr>
          <w:p w14:paraId="7857F46F"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9.50</w:t>
            </w:r>
          </w:p>
        </w:tc>
      </w:tr>
      <w:tr w:rsidR="00D305EA" w:rsidRPr="002F31F6" w14:paraId="59FEA720"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522965F7"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Export-Import Bank of China (Main-Land)</w:t>
            </w:r>
          </w:p>
        </w:tc>
        <w:tc>
          <w:tcPr>
            <w:tcW w:w="1194" w:type="dxa"/>
            <w:tcBorders>
              <w:top w:val="nil"/>
              <w:left w:val="nil"/>
              <w:bottom w:val="nil"/>
              <w:right w:val="nil"/>
            </w:tcBorders>
            <w:shd w:val="clear" w:color="auto" w:fill="auto"/>
            <w:noWrap/>
            <w:vAlign w:val="center"/>
            <w:hideMark/>
          </w:tcPr>
          <w:p w14:paraId="19399B63"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197.07</w:t>
            </w:r>
          </w:p>
        </w:tc>
        <w:tc>
          <w:tcPr>
            <w:tcW w:w="1194" w:type="dxa"/>
            <w:tcBorders>
              <w:top w:val="nil"/>
              <w:left w:val="nil"/>
              <w:bottom w:val="nil"/>
              <w:right w:val="nil"/>
            </w:tcBorders>
            <w:shd w:val="clear" w:color="auto" w:fill="auto"/>
            <w:noWrap/>
            <w:vAlign w:val="center"/>
            <w:hideMark/>
          </w:tcPr>
          <w:p w14:paraId="520AD298"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233.74</w:t>
            </w:r>
          </w:p>
        </w:tc>
        <w:tc>
          <w:tcPr>
            <w:tcW w:w="1089" w:type="dxa"/>
            <w:tcBorders>
              <w:top w:val="nil"/>
              <w:left w:val="nil"/>
              <w:bottom w:val="nil"/>
              <w:right w:val="single" w:sz="18" w:space="0" w:color="auto"/>
            </w:tcBorders>
            <w:shd w:val="clear" w:color="000000" w:fill="FFFFFF"/>
            <w:noWrap/>
            <w:vAlign w:val="center"/>
            <w:hideMark/>
          </w:tcPr>
          <w:p w14:paraId="043E02D0"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18.61</w:t>
            </w:r>
          </w:p>
        </w:tc>
      </w:tr>
      <w:tr w:rsidR="00D305EA" w:rsidRPr="002F31F6" w14:paraId="60581DAC"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195E4DFE"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Export Import Bank of India</w:t>
            </w:r>
          </w:p>
        </w:tc>
        <w:tc>
          <w:tcPr>
            <w:tcW w:w="1194" w:type="dxa"/>
            <w:tcBorders>
              <w:top w:val="nil"/>
              <w:left w:val="nil"/>
              <w:bottom w:val="nil"/>
              <w:right w:val="nil"/>
            </w:tcBorders>
            <w:shd w:val="clear" w:color="auto" w:fill="auto"/>
            <w:noWrap/>
            <w:vAlign w:val="center"/>
            <w:hideMark/>
          </w:tcPr>
          <w:p w14:paraId="51E2DB2B"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139.35</w:t>
            </w:r>
          </w:p>
        </w:tc>
        <w:tc>
          <w:tcPr>
            <w:tcW w:w="1194" w:type="dxa"/>
            <w:tcBorders>
              <w:top w:val="nil"/>
              <w:left w:val="nil"/>
              <w:bottom w:val="nil"/>
              <w:right w:val="nil"/>
            </w:tcBorders>
            <w:shd w:val="clear" w:color="auto" w:fill="auto"/>
            <w:noWrap/>
            <w:vAlign w:val="center"/>
            <w:hideMark/>
          </w:tcPr>
          <w:p w14:paraId="06FEEEEB"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128.29</w:t>
            </w:r>
          </w:p>
        </w:tc>
        <w:tc>
          <w:tcPr>
            <w:tcW w:w="1089" w:type="dxa"/>
            <w:tcBorders>
              <w:top w:val="nil"/>
              <w:left w:val="nil"/>
              <w:bottom w:val="nil"/>
              <w:right w:val="single" w:sz="18" w:space="0" w:color="auto"/>
            </w:tcBorders>
            <w:shd w:val="clear" w:color="000000" w:fill="FFFFFF"/>
            <w:noWrap/>
            <w:vAlign w:val="center"/>
            <w:hideMark/>
          </w:tcPr>
          <w:p w14:paraId="7D206F3B"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-7.94</w:t>
            </w:r>
          </w:p>
        </w:tc>
      </w:tr>
      <w:tr w:rsidR="00D305EA" w:rsidRPr="002F31F6" w14:paraId="4C3B99D5"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2F773769"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Kuwait Fund for Arab Economic Develop.</w:t>
            </w:r>
          </w:p>
        </w:tc>
        <w:tc>
          <w:tcPr>
            <w:tcW w:w="1194" w:type="dxa"/>
            <w:tcBorders>
              <w:top w:val="nil"/>
              <w:left w:val="nil"/>
              <w:bottom w:val="nil"/>
              <w:right w:val="nil"/>
            </w:tcBorders>
            <w:shd w:val="clear" w:color="auto" w:fill="auto"/>
            <w:noWrap/>
            <w:vAlign w:val="center"/>
            <w:hideMark/>
          </w:tcPr>
          <w:p w14:paraId="0B958E84"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43.08</w:t>
            </w:r>
          </w:p>
        </w:tc>
        <w:tc>
          <w:tcPr>
            <w:tcW w:w="1194" w:type="dxa"/>
            <w:tcBorders>
              <w:top w:val="nil"/>
              <w:left w:val="nil"/>
              <w:bottom w:val="nil"/>
              <w:right w:val="nil"/>
            </w:tcBorders>
            <w:shd w:val="clear" w:color="auto" w:fill="auto"/>
            <w:noWrap/>
            <w:vAlign w:val="center"/>
            <w:hideMark/>
          </w:tcPr>
          <w:p w14:paraId="0389097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45.16</w:t>
            </w:r>
          </w:p>
        </w:tc>
        <w:tc>
          <w:tcPr>
            <w:tcW w:w="1089" w:type="dxa"/>
            <w:tcBorders>
              <w:top w:val="nil"/>
              <w:left w:val="nil"/>
              <w:bottom w:val="nil"/>
              <w:right w:val="single" w:sz="18" w:space="0" w:color="auto"/>
            </w:tcBorders>
            <w:shd w:val="clear" w:color="000000" w:fill="FFFFFF"/>
            <w:noWrap/>
            <w:vAlign w:val="center"/>
            <w:hideMark/>
          </w:tcPr>
          <w:p w14:paraId="3B3DC858"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4.83</w:t>
            </w:r>
          </w:p>
        </w:tc>
      </w:tr>
      <w:tr w:rsidR="00D305EA" w:rsidRPr="002F31F6" w14:paraId="3111F395"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25894D42" w14:textId="7F060A55" w:rsidR="00D305EA" w:rsidRPr="002F31F6" w:rsidRDefault="00D305EA" w:rsidP="005220BE">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Saudi Fund for Development</w:t>
            </w:r>
          </w:p>
        </w:tc>
        <w:tc>
          <w:tcPr>
            <w:tcW w:w="1194" w:type="dxa"/>
            <w:tcBorders>
              <w:top w:val="nil"/>
              <w:left w:val="nil"/>
              <w:bottom w:val="nil"/>
              <w:right w:val="nil"/>
            </w:tcBorders>
            <w:shd w:val="clear" w:color="auto" w:fill="auto"/>
            <w:noWrap/>
            <w:vAlign w:val="center"/>
            <w:hideMark/>
          </w:tcPr>
          <w:p w14:paraId="1F659E64"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21.84</w:t>
            </w:r>
          </w:p>
        </w:tc>
        <w:tc>
          <w:tcPr>
            <w:tcW w:w="1194" w:type="dxa"/>
            <w:tcBorders>
              <w:top w:val="nil"/>
              <w:left w:val="nil"/>
              <w:bottom w:val="nil"/>
              <w:right w:val="nil"/>
            </w:tcBorders>
            <w:shd w:val="clear" w:color="auto" w:fill="auto"/>
            <w:noWrap/>
            <w:vAlign w:val="center"/>
            <w:hideMark/>
          </w:tcPr>
          <w:p w14:paraId="187A2BC3"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25.25</w:t>
            </w:r>
          </w:p>
        </w:tc>
        <w:tc>
          <w:tcPr>
            <w:tcW w:w="1089" w:type="dxa"/>
            <w:tcBorders>
              <w:top w:val="nil"/>
              <w:left w:val="nil"/>
              <w:bottom w:val="nil"/>
              <w:right w:val="single" w:sz="18" w:space="0" w:color="auto"/>
            </w:tcBorders>
            <w:shd w:val="clear" w:color="000000" w:fill="FFFFFF"/>
            <w:noWrap/>
            <w:vAlign w:val="center"/>
            <w:hideMark/>
          </w:tcPr>
          <w:p w14:paraId="21ED8B9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15.61</w:t>
            </w:r>
          </w:p>
        </w:tc>
      </w:tr>
      <w:tr w:rsidR="00D305EA" w:rsidRPr="002F31F6" w14:paraId="569F73C6"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18BA6409" w14:textId="2A9EEBEC"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Compania Espanola De Seguros de Credito</w:t>
            </w:r>
            <w:r>
              <w:rPr>
                <w:rStyle w:val="FootnoteReference"/>
                <w:rFonts w:ascii="Bookman Old Style" w:hAnsi="Bookman Old Style"/>
                <w:color w:val="000000"/>
                <w:sz w:val="22"/>
                <w:szCs w:val="22"/>
                <w:lang w:eastAsia="en-GB"/>
              </w:rPr>
              <w:footnoteReference w:id="4"/>
            </w:r>
            <w:r w:rsidRPr="002F31F6">
              <w:rPr>
                <w:rFonts w:ascii="Bookman Old Style" w:hAnsi="Bookman Old Style"/>
                <w:color w:val="000000"/>
                <w:sz w:val="22"/>
                <w:szCs w:val="22"/>
                <w:lang w:eastAsia="en-GB"/>
              </w:rPr>
              <w:t xml:space="preserve"> </w:t>
            </w:r>
          </w:p>
        </w:tc>
        <w:tc>
          <w:tcPr>
            <w:tcW w:w="1194" w:type="dxa"/>
            <w:tcBorders>
              <w:top w:val="nil"/>
              <w:left w:val="nil"/>
              <w:bottom w:val="nil"/>
              <w:right w:val="nil"/>
            </w:tcBorders>
            <w:shd w:val="clear" w:color="auto" w:fill="auto"/>
            <w:noWrap/>
            <w:vAlign w:val="center"/>
            <w:hideMark/>
          </w:tcPr>
          <w:p w14:paraId="419C7CF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w:t>
            </w:r>
          </w:p>
        </w:tc>
        <w:tc>
          <w:tcPr>
            <w:tcW w:w="1194" w:type="dxa"/>
            <w:tcBorders>
              <w:top w:val="nil"/>
              <w:left w:val="nil"/>
              <w:bottom w:val="nil"/>
              <w:right w:val="nil"/>
            </w:tcBorders>
            <w:shd w:val="clear" w:color="auto" w:fill="auto"/>
            <w:noWrap/>
            <w:vAlign w:val="center"/>
            <w:hideMark/>
          </w:tcPr>
          <w:p w14:paraId="2B74004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8.22</w:t>
            </w:r>
          </w:p>
        </w:tc>
        <w:tc>
          <w:tcPr>
            <w:tcW w:w="1089" w:type="dxa"/>
            <w:tcBorders>
              <w:top w:val="nil"/>
              <w:left w:val="nil"/>
              <w:bottom w:val="nil"/>
              <w:right w:val="single" w:sz="18" w:space="0" w:color="auto"/>
            </w:tcBorders>
            <w:shd w:val="clear" w:color="000000" w:fill="FFFFFF"/>
            <w:noWrap/>
            <w:vAlign w:val="center"/>
            <w:hideMark/>
          </w:tcPr>
          <w:p w14:paraId="1C3C769F"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w:t>
            </w:r>
          </w:p>
        </w:tc>
      </w:tr>
      <w:tr w:rsidR="00D305EA" w:rsidRPr="002F31F6" w14:paraId="473A2E54"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3E294DBE"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 xml:space="preserve">Abu </w:t>
            </w:r>
            <w:proofErr w:type="gramStart"/>
            <w:r w:rsidRPr="002F31F6">
              <w:rPr>
                <w:rFonts w:ascii="Bookman Old Style" w:hAnsi="Bookman Old Style"/>
                <w:color w:val="000000"/>
                <w:sz w:val="22"/>
                <w:szCs w:val="22"/>
                <w:lang w:eastAsia="en-GB"/>
              </w:rPr>
              <w:t>Dhabi  Fund</w:t>
            </w:r>
            <w:proofErr w:type="gramEnd"/>
            <w:r w:rsidRPr="002F31F6">
              <w:rPr>
                <w:rFonts w:ascii="Bookman Old Style" w:hAnsi="Bookman Old Style"/>
                <w:color w:val="000000"/>
                <w:sz w:val="22"/>
                <w:szCs w:val="22"/>
                <w:lang w:eastAsia="en-GB"/>
              </w:rPr>
              <w:t xml:space="preserve"> for Development</w:t>
            </w:r>
          </w:p>
        </w:tc>
        <w:tc>
          <w:tcPr>
            <w:tcW w:w="1194" w:type="dxa"/>
            <w:tcBorders>
              <w:top w:val="nil"/>
              <w:left w:val="nil"/>
              <w:bottom w:val="nil"/>
              <w:right w:val="nil"/>
            </w:tcBorders>
            <w:shd w:val="clear" w:color="auto" w:fill="auto"/>
            <w:noWrap/>
            <w:vAlign w:val="center"/>
            <w:hideMark/>
          </w:tcPr>
          <w:p w14:paraId="5198518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4.14</w:t>
            </w:r>
          </w:p>
        </w:tc>
        <w:tc>
          <w:tcPr>
            <w:tcW w:w="1194" w:type="dxa"/>
            <w:tcBorders>
              <w:top w:val="nil"/>
              <w:left w:val="nil"/>
              <w:bottom w:val="nil"/>
              <w:right w:val="nil"/>
            </w:tcBorders>
            <w:shd w:val="clear" w:color="auto" w:fill="auto"/>
            <w:noWrap/>
            <w:vAlign w:val="center"/>
            <w:hideMark/>
          </w:tcPr>
          <w:p w14:paraId="5B7DA520"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3.47</w:t>
            </w:r>
          </w:p>
        </w:tc>
        <w:tc>
          <w:tcPr>
            <w:tcW w:w="1089" w:type="dxa"/>
            <w:tcBorders>
              <w:top w:val="nil"/>
              <w:left w:val="nil"/>
              <w:bottom w:val="nil"/>
              <w:right w:val="single" w:sz="18" w:space="0" w:color="auto"/>
            </w:tcBorders>
            <w:shd w:val="clear" w:color="000000" w:fill="FFFFFF"/>
            <w:noWrap/>
            <w:vAlign w:val="center"/>
            <w:hideMark/>
          </w:tcPr>
          <w:p w14:paraId="7E34B615"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-16.18</w:t>
            </w:r>
          </w:p>
        </w:tc>
      </w:tr>
      <w:tr w:rsidR="00D305EA" w:rsidRPr="002F31F6" w14:paraId="1D3E2B0D"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1E10192B"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Government of Belgium</w:t>
            </w:r>
          </w:p>
        </w:tc>
        <w:tc>
          <w:tcPr>
            <w:tcW w:w="1194" w:type="dxa"/>
            <w:tcBorders>
              <w:top w:val="nil"/>
              <w:left w:val="nil"/>
              <w:bottom w:val="nil"/>
              <w:right w:val="nil"/>
            </w:tcBorders>
            <w:shd w:val="clear" w:color="auto" w:fill="auto"/>
            <w:noWrap/>
            <w:vAlign w:val="center"/>
            <w:hideMark/>
          </w:tcPr>
          <w:p w14:paraId="6AA2597D"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1.34</w:t>
            </w:r>
          </w:p>
        </w:tc>
        <w:tc>
          <w:tcPr>
            <w:tcW w:w="1194" w:type="dxa"/>
            <w:tcBorders>
              <w:top w:val="nil"/>
              <w:left w:val="nil"/>
              <w:bottom w:val="nil"/>
              <w:right w:val="nil"/>
            </w:tcBorders>
            <w:shd w:val="clear" w:color="auto" w:fill="auto"/>
            <w:noWrap/>
            <w:vAlign w:val="center"/>
            <w:hideMark/>
          </w:tcPr>
          <w:p w14:paraId="71500C90"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1.33</w:t>
            </w:r>
          </w:p>
        </w:tc>
        <w:tc>
          <w:tcPr>
            <w:tcW w:w="1089" w:type="dxa"/>
            <w:tcBorders>
              <w:top w:val="nil"/>
              <w:left w:val="nil"/>
              <w:bottom w:val="nil"/>
              <w:right w:val="single" w:sz="18" w:space="0" w:color="auto"/>
            </w:tcBorders>
            <w:shd w:val="clear" w:color="000000" w:fill="FFFFFF"/>
            <w:noWrap/>
            <w:vAlign w:val="center"/>
            <w:hideMark/>
          </w:tcPr>
          <w:p w14:paraId="26FEEFB1"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-0.75</w:t>
            </w:r>
          </w:p>
        </w:tc>
      </w:tr>
      <w:tr w:rsidR="00D305EA" w:rsidRPr="002F31F6" w14:paraId="6719ED53" w14:textId="77777777" w:rsidTr="00807C0D">
        <w:trPr>
          <w:trHeight w:val="287"/>
        </w:trPr>
        <w:tc>
          <w:tcPr>
            <w:tcW w:w="5487" w:type="dxa"/>
            <w:tcBorders>
              <w:top w:val="nil"/>
              <w:left w:val="single" w:sz="18" w:space="0" w:color="auto"/>
              <w:bottom w:val="nil"/>
              <w:right w:val="nil"/>
            </w:tcBorders>
            <w:shd w:val="clear" w:color="auto" w:fill="D2CAB6" w:themeFill="background2" w:themeFillShade="E6"/>
            <w:noWrap/>
            <w:vAlign w:val="center"/>
            <w:hideMark/>
          </w:tcPr>
          <w:p w14:paraId="75064BB7" w14:textId="77777777" w:rsidR="00D305EA" w:rsidRPr="002F31F6" w:rsidRDefault="00D305EA" w:rsidP="00D305EA">
            <w:pPr>
              <w:spacing w:after="0"/>
              <w:jc w:val="lef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2. Multilateral</w:t>
            </w:r>
          </w:p>
        </w:tc>
        <w:tc>
          <w:tcPr>
            <w:tcW w:w="1194" w:type="dxa"/>
            <w:tcBorders>
              <w:top w:val="nil"/>
              <w:left w:val="nil"/>
              <w:bottom w:val="nil"/>
              <w:right w:val="nil"/>
            </w:tcBorders>
            <w:shd w:val="clear" w:color="auto" w:fill="D2CAB6" w:themeFill="background2" w:themeFillShade="E6"/>
            <w:noWrap/>
            <w:vAlign w:val="center"/>
            <w:hideMark/>
          </w:tcPr>
          <w:p w14:paraId="0D939BF4"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1981.41</w:t>
            </w:r>
          </w:p>
        </w:tc>
        <w:tc>
          <w:tcPr>
            <w:tcW w:w="1194" w:type="dxa"/>
            <w:tcBorders>
              <w:top w:val="nil"/>
              <w:left w:val="nil"/>
              <w:bottom w:val="nil"/>
              <w:right w:val="nil"/>
            </w:tcBorders>
            <w:shd w:val="clear" w:color="auto" w:fill="D2CAB6" w:themeFill="background2" w:themeFillShade="E6"/>
            <w:noWrap/>
            <w:vAlign w:val="center"/>
            <w:hideMark/>
          </w:tcPr>
          <w:p w14:paraId="72D2857A"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2318.16</w:t>
            </w:r>
          </w:p>
        </w:tc>
        <w:tc>
          <w:tcPr>
            <w:tcW w:w="1089" w:type="dxa"/>
            <w:tcBorders>
              <w:top w:val="nil"/>
              <w:left w:val="nil"/>
              <w:bottom w:val="nil"/>
              <w:right w:val="single" w:sz="18" w:space="0" w:color="auto"/>
            </w:tcBorders>
            <w:shd w:val="clear" w:color="auto" w:fill="D2CAB6" w:themeFill="background2" w:themeFillShade="E6"/>
            <w:noWrap/>
            <w:vAlign w:val="center"/>
            <w:hideMark/>
          </w:tcPr>
          <w:p w14:paraId="11578F1C"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17.00</w:t>
            </w:r>
          </w:p>
        </w:tc>
      </w:tr>
      <w:tr w:rsidR="00D305EA" w:rsidRPr="002F31F6" w14:paraId="407790F0"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68B28648"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International Development Association</w:t>
            </w:r>
          </w:p>
        </w:tc>
        <w:tc>
          <w:tcPr>
            <w:tcW w:w="1194" w:type="dxa"/>
            <w:tcBorders>
              <w:top w:val="nil"/>
              <w:left w:val="nil"/>
              <w:bottom w:val="nil"/>
              <w:right w:val="nil"/>
            </w:tcBorders>
            <w:shd w:val="clear" w:color="auto" w:fill="auto"/>
            <w:noWrap/>
            <w:vAlign w:val="center"/>
            <w:hideMark/>
          </w:tcPr>
          <w:p w14:paraId="23D65F09"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1014.90</w:t>
            </w:r>
          </w:p>
        </w:tc>
        <w:tc>
          <w:tcPr>
            <w:tcW w:w="1194" w:type="dxa"/>
            <w:tcBorders>
              <w:top w:val="nil"/>
              <w:left w:val="nil"/>
              <w:bottom w:val="nil"/>
              <w:right w:val="nil"/>
            </w:tcBorders>
            <w:shd w:val="clear" w:color="auto" w:fill="auto"/>
            <w:noWrap/>
            <w:vAlign w:val="center"/>
            <w:hideMark/>
          </w:tcPr>
          <w:p w14:paraId="72089EC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1161.78</w:t>
            </w:r>
          </w:p>
        </w:tc>
        <w:tc>
          <w:tcPr>
            <w:tcW w:w="1089" w:type="dxa"/>
            <w:tcBorders>
              <w:top w:val="nil"/>
              <w:left w:val="nil"/>
              <w:bottom w:val="nil"/>
              <w:right w:val="single" w:sz="18" w:space="0" w:color="auto"/>
            </w:tcBorders>
            <w:shd w:val="clear" w:color="000000" w:fill="FFFFFF"/>
            <w:noWrap/>
            <w:vAlign w:val="center"/>
            <w:hideMark/>
          </w:tcPr>
          <w:p w14:paraId="4FC12A10"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14.47</w:t>
            </w:r>
          </w:p>
        </w:tc>
      </w:tr>
      <w:tr w:rsidR="00D305EA" w:rsidRPr="002F31F6" w14:paraId="0734F187"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46001AF5"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International Monetary Fund</w:t>
            </w:r>
          </w:p>
        </w:tc>
        <w:tc>
          <w:tcPr>
            <w:tcW w:w="1194" w:type="dxa"/>
            <w:tcBorders>
              <w:top w:val="nil"/>
              <w:left w:val="nil"/>
              <w:bottom w:val="nil"/>
              <w:right w:val="nil"/>
            </w:tcBorders>
            <w:shd w:val="clear" w:color="auto" w:fill="auto"/>
            <w:noWrap/>
            <w:vAlign w:val="center"/>
            <w:hideMark/>
          </w:tcPr>
          <w:p w14:paraId="0D1705B2"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323.36</w:t>
            </w:r>
          </w:p>
        </w:tc>
        <w:tc>
          <w:tcPr>
            <w:tcW w:w="1194" w:type="dxa"/>
            <w:tcBorders>
              <w:top w:val="nil"/>
              <w:left w:val="nil"/>
              <w:bottom w:val="nil"/>
              <w:right w:val="nil"/>
            </w:tcBorders>
            <w:shd w:val="clear" w:color="auto" w:fill="auto"/>
            <w:noWrap/>
            <w:vAlign w:val="center"/>
            <w:hideMark/>
          </w:tcPr>
          <w:p w14:paraId="4742253A"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417.12</w:t>
            </w:r>
          </w:p>
        </w:tc>
        <w:tc>
          <w:tcPr>
            <w:tcW w:w="1089" w:type="dxa"/>
            <w:tcBorders>
              <w:top w:val="nil"/>
              <w:left w:val="nil"/>
              <w:bottom w:val="nil"/>
              <w:right w:val="single" w:sz="18" w:space="0" w:color="auto"/>
            </w:tcBorders>
            <w:shd w:val="clear" w:color="000000" w:fill="FFFFFF"/>
            <w:noWrap/>
            <w:vAlign w:val="center"/>
            <w:hideMark/>
          </w:tcPr>
          <w:p w14:paraId="4F9AF850"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29.00</w:t>
            </w:r>
          </w:p>
        </w:tc>
      </w:tr>
      <w:tr w:rsidR="00D305EA" w:rsidRPr="002F31F6" w14:paraId="56CBEA96"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15228111"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African Development Fund</w:t>
            </w:r>
          </w:p>
        </w:tc>
        <w:tc>
          <w:tcPr>
            <w:tcW w:w="1194" w:type="dxa"/>
            <w:tcBorders>
              <w:top w:val="nil"/>
              <w:left w:val="nil"/>
              <w:bottom w:val="nil"/>
              <w:right w:val="nil"/>
            </w:tcBorders>
            <w:shd w:val="clear" w:color="auto" w:fill="auto"/>
            <w:noWrap/>
            <w:vAlign w:val="center"/>
            <w:hideMark/>
          </w:tcPr>
          <w:p w14:paraId="67BE256B"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364.37</w:t>
            </w:r>
          </w:p>
        </w:tc>
        <w:tc>
          <w:tcPr>
            <w:tcW w:w="1194" w:type="dxa"/>
            <w:tcBorders>
              <w:top w:val="nil"/>
              <w:left w:val="nil"/>
              <w:bottom w:val="nil"/>
              <w:right w:val="nil"/>
            </w:tcBorders>
            <w:shd w:val="clear" w:color="auto" w:fill="auto"/>
            <w:noWrap/>
            <w:vAlign w:val="center"/>
            <w:hideMark/>
          </w:tcPr>
          <w:p w14:paraId="04AE5536"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415.22</w:t>
            </w:r>
          </w:p>
        </w:tc>
        <w:tc>
          <w:tcPr>
            <w:tcW w:w="1089" w:type="dxa"/>
            <w:tcBorders>
              <w:top w:val="nil"/>
              <w:left w:val="nil"/>
              <w:bottom w:val="nil"/>
              <w:right w:val="single" w:sz="18" w:space="0" w:color="auto"/>
            </w:tcBorders>
            <w:shd w:val="clear" w:color="000000" w:fill="FFFFFF"/>
            <w:noWrap/>
            <w:vAlign w:val="center"/>
            <w:hideMark/>
          </w:tcPr>
          <w:p w14:paraId="2F07BC34"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13.96</w:t>
            </w:r>
          </w:p>
        </w:tc>
      </w:tr>
      <w:tr w:rsidR="00D305EA" w:rsidRPr="002F31F6" w14:paraId="6651779D"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67F35235"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International Fund for Agricultural Development</w:t>
            </w:r>
          </w:p>
        </w:tc>
        <w:tc>
          <w:tcPr>
            <w:tcW w:w="1194" w:type="dxa"/>
            <w:tcBorders>
              <w:top w:val="nil"/>
              <w:left w:val="nil"/>
              <w:bottom w:val="nil"/>
              <w:right w:val="nil"/>
            </w:tcBorders>
            <w:shd w:val="clear" w:color="auto" w:fill="auto"/>
            <w:noWrap/>
            <w:vAlign w:val="center"/>
            <w:hideMark/>
          </w:tcPr>
          <w:p w14:paraId="7CA5B3A9"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85.30</w:t>
            </w:r>
          </w:p>
        </w:tc>
        <w:tc>
          <w:tcPr>
            <w:tcW w:w="1194" w:type="dxa"/>
            <w:tcBorders>
              <w:top w:val="nil"/>
              <w:left w:val="nil"/>
              <w:bottom w:val="nil"/>
              <w:right w:val="nil"/>
            </w:tcBorders>
            <w:shd w:val="clear" w:color="auto" w:fill="auto"/>
            <w:noWrap/>
            <w:vAlign w:val="center"/>
            <w:hideMark/>
          </w:tcPr>
          <w:p w14:paraId="7BEA569F"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90.66</w:t>
            </w:r>
          </w:p>
        </w:tc>
        <w:tc>
          <w:tcPr>
            <w:tcW w:w="1089" w:type="dxa"/>
            <w:tcBorders>
              <w:top w:val="nil"/>
              <w:left w:val="nil"/>
              <w:bottom w:val="nil"/>
              <w:right w:val="single" w:sz="18" w:space="0" w:color="auto"/>
            </w:tcBorders>
            <w:shd w:val="clear" w:color="000000" w:fill="FFFFFF"/>
            <w:noWrap/>
            <w:vAlign w:val="center"/>
            <w:hideMark/>
          </w:tcPr>
          <w:p w14:paraId="680A1842"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6.28</w:t>
            </w:r>
          </w:p>
        </w:tc>
      </w:tr>
      <w:tr w:rsidR="00D305EA" w:rsidRPr="002F31F6" w14:paraId="57EFC93F"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5E66A17E"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European Investment Bank</w:t>
            </w:r>
          </w:p>
        </w:tc>
        <w:tc>
          <w:tcPr>
            <w:tcW w:w="1194" w:type="dxa"/>
            <w:tcBorders>
              <w:top w:val="nil"/>
              <w:left w:val="nil"/>
              <w:bottom w:val="nil"/>
              <w:right w:val="nil"/>
            </w:tcBorders>
            <w:shd w:val="clear" w:color="auto" w:fill="auto"/>
            <w:noWrap/>
            <w:vAlign w:val="center"/>
            <w:hideMark/>
          </w:tcPr>
          <w:p w14:paraId="224E4859"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43.05</w:t>
            </w:r>
          </w:p>
        </w:tc>
        <w:tc>
          <w:tcPr>
            <w:tcW w:w="1194" w:type="dxa"/>
            <w:tcBorders>
              <w:top w:val="nil"/>
              <w:left w:val="nil"/>
              <w:bottom w:val="nil"/>
              <w:right w:val="nil"/>
            </w:tcBorders>
            <w:shd w:val="clear" w:color="auto" w:fill="auto"/>
            <w:noWrap/>
            <w:vAlign w:val="center"/>
            <w:hideMark/>
          </w:tcPr>
          <w:p w14:paraId="303A558D"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75.35</w:t>
            </w:r>
          </w:p>
        </w:tc>
        <w:tc>
          <w:tcPr>
            <w:tcW w:w="1089" w:type="dxa"/>
            <w:tcBorders>
              <w:top w:val="nil"/>
              <w:left w:val="nil"/>
              <w:bottom w:val="nil"/>
              <w:right w:val="single" w:sz="18" w:space="0" w:color="auto"/>
            </w:tcBorders>
            <w:shd w:val="clear" w:color="000000" w:fill="FFFFFF"/>
            <w:noWrap/>
            <w:vAlign w:val="center"/>
            <w:hideMark/>
          </w:tcPr>
          <w:p w14:paraId="48F0C62F"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75.03</w:t>
            </w:r>
          </w:p>
        </w:tc>
      </w:tr>
      <w:tr w:rsidR="00D305EA" w:rsidRPr="002F31F6" w14:paraId="2ECA58B5"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25085D5D"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OPEC Fund for International Development</w:t>
            </w:r>
          </w:p>
        </w:tc>
        <w:tc>
          <w:tcPr>
            <w:tcW w:w="1194" w:type="dxa"/>
            <w:tcBorders>
              <w:top w:val="nil"/>
              <w:left w:val="nil"/>
              <w:bottom w:val="nil"/>
              <w:right w:val="nil"/>
            </w:tcBorders>
            <w:shd w:val="clear" w:color="auto" w:fill="auto"/>
            <w:noWrap/>
            <w:vAlign w:val="center"/>
            <w:hideMark/>
          </w:tcPr>
          <w:p w14:paraId="4CF28CB4"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70.48</w:t>
            </w:r>
          </w:p>
        </w:tc>
        <w:tc>
          <w:tcPr>
            <w:tcW w:w="1194" w:type="dxa"/>
            <w:tcBorders>
              <w:top w:val="nil"/>
              <w:left w:val="nil"/>
              <w:bottom w:val="nil"/>
              <w:right w:val="nil"/>
            </w:tcBorders>
            <w:shd w:val="clear" w:color="auto" w:fill="auto"/>
            <w:noWrap/>
            <w:vAlign w:val="center"/>
            <w:hideMark/>
          </w:tcPr>
          <w:p w14:paraId="100CC004"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72.22</w:t>
            </w:r>
          </w:p>
        </w:tc>
        <w:tc>
          <w:tcPr>
            <w:tcW w:w="1089" w:type="dxa"/>
            <w:tcBorders>
              <w:top w:val="nil"/>
              <w:left w:val="nil"/>
              <w:bottom w:val="nil"/>
              <w:right w:val="single" w:sz="18" w:space="0" w:color="auto"/>
            </w:tcBorders>
            <w:shd w:val="clear" w:color="000000" w:fill="FFFFFF"/>
            <w:noWrap/>
            <w:vAlign w:val="center"/>
            <w:hideMark/>
          </w:tcPr>
          <w:p w14:paraId="542F1F23"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2.47</w:t>
            </w:r>
          </w:p>
        </w:tc>
      </w:tr>
      <w:tr w:rsidR="00D305EA" w:rsidRPr="002F31F6" w14:paraId="53451118"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23B9ED2D"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Arab Bank for Economic Development in Africa</w:t>
            </w:r>
          </w:p>
        </w:tc>
        <w:tc>
          <w:tcPr>
            <w:tcW w:w="1194" w:type="dxa"/>
            <w:tcBorders>
              <w:top w:val="nil"/>
              <w:left w:val="nil"/>
              <w:bottom w:val="nil"/>
              <w:right w:val="nil"/>
            </w:tcBorders>
            <w:shd w:val="clear" w:color="auto" w:fill="auto"/>
            <w:noWrap/>
            <w:vAlign w:val="center"/>
            <w:hideMark/>
          </w:tcPr>
          <w:p w14:paraId="2ECC8D86"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60.38</w:t>
            </w:r>
          </w:p>
        </w:tc>
        <w:tc>
          <w:tcPr>
            <w:tcW w:w="1194" w:type="dxa"/>
            <w:tcBorders>
              <w:top w:val="nil"/>
              <w:left w:val="nil"/>
              <w:bottom w:val="nil"/>
              <w:right w:val="nil"/>
            </w:tcBorders>
            <w:shd w:val="clear" w:color="auto" w:fill="auto"/>
            <w:noWrap/>
            <w:vAlign w:val="center"/>
            <w:hideMark/>
          </w:tcPr>
          <w:p w14:paraId="785E0DAA"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66.16</w:t>
            </w:r>
          </w:p>
        </w:tc>
        <w:tc>
          <w:tcPr>
            <w:tcW w:w="1089" w:type="dxa"/>
            <w:tcBorders>
              <w:top w:val="nil"/>
              <w:left w:val="nil"/>
              <w:bottom w:val="nil"/>
              <w:right w:val="single" w:sz="18" w:space="0" w:color="auto"/>
            </w:tcBorders>
            <w:shd w:val="clear" w:color="000000" w:fill="FFFFFF"/>
            <w:noWrap/>
            <w:vAlign w:val="center"/>
            <w:hideMark/>
          </w:tcPr>
          <w:p w14:paraId="4B3F379B"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9.57</w:t>
            </w:r>
          </w:p>
        </w:tc>
      </w:tr>
      <w:tr w:rsidR="00D305EA" w:rsidRPr="002F31F6" w14:paraId="77A76E7D"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1BADB31E"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Nordic Development Fund</w:t>
            </w:r>
          </w:p>
        </w:tc>
        <w:tc>
          <w:tcPr>
            <w:tcW w:w="1194" w:type="dxa"/>
            <w:tcBorders>
              <w:top w:val="nil"/>
              <w:left w:val="nil"/>
              <w:bottom w:val="nil"/>
              <w:right w:val="nil"/>
            </w:tcBorders>
            <w:shd w:val="clear" w:color="auto" w:fill="auto"/>
            <w:noWrap/>
            <w:vAlign w:val="center"/>
            <w:hideMark/>
          </w:tcPr>
          <w:p w14:paraId="71BD40DD"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val="en-US" w:eastAsia="en-GB"/>
              </w:rPr>
              <w:t>19.57</w:t>
            </w:r>
          </w:p>
        </w:tc>
        <w:tc>
          <w:tcPr>
            <w:tcW w:w="1194" w:type="dxa"/>
            <w:tcBorders>
              <w:top w:val="nil"/>
              <w:left w:val="nil"/>
              <w:bottom w:val="nil"/>
              <w:right w:val="nil"/>
            </w:tcBorders>
            <w:shd w:val="clear" w:color="auto" w:fill="auto"/>
            <w:noWrap/>
            <w:vAlign w:val="center"/>
            <w:hideMark/>
          </w:tcPr>
          <w:p w14:paraId="046E5C9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19.65</w:t>
            </w:r>
          </w:p>
        </w:tc>
        <w:tc>
          <w:tcPr>
            <w:tcW w:w="1089" w:type="dxa"/>
            <w:tcBorders>
              <w:top w:val="nil"/>
              <w:left w:val="nil"/>
              <w:bottom w:val="nil"/>
              <w:right w:val="single" w:sz="18" w:space="0" w:color="auto"/>
            </w:tcBorders>
            <w:shd w:val="clear" w:color="000000" w:fill="FFFFFF"/>
            <w:noWrap/>
            <w:vAlign w:val="center"/>
            <w:hideMark/>
          </w:tcPr>
          <w:p w14:paraId="18E3D678"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0.41</w:t>
            </w:r>
          </w:p>
        </w:tc>
      </w:tr>
      <w:tr w:rsidR="00D305EA" w:rsidRPr="002F31F6" w14:paraId="1CDAD7FD" w14:textId="77777777" w:rsidTr="00807C0D">
        <w:trPr>
          <w:trHeight w:val="287"/>
        </w:trPr>
        <w:tc>
          <w:tcPr>
            <w:tcW w:w="5487" w:type="dxa"/>
            <w:tcBorders>
              <w:top w:val="nil"/>
              <w:left w:val="single" w:sz="18" w:space="0" w:color="auto"/>
              <w:bottom w:val="nil"/>
              <w:right w:val="nil"/>
            </w:tcBorders>
            <w:shd w:val="clear" w:color="auto" w:fill="D2CAB6" w:themeFill="background2" w:themeFillShade="E6"/>
            <w:noWrap/>
            <w:vAlign w:val="center"/>
            <w:hideMark/>
          </w:tcPr>
          <w:p w14:paraId="6D46BAC0" w14:textId="77777777" w:rsidR="00D305EA" w:rsidRPr="002F31F6" w:rsidRDefault="00D305EA" w:rsidP="00D305EA">
            <w:pPr>
              <w:spacing w:after="0"/>
              <w:jc w:val="lef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3. Commercial</w:t>
            </w:r>
          </w:p>
        </w:tc>
        <w:tc>
          <w:tcPr>
            <w:tcW w:w="1194" w:type="dxa"/>
            <w:tcBorders>
              <w:top w:val="nil"/>
              <w:left w:val="nil"/>
              <w:bottom w:val="nil"/>
              <w:right w:val="nil"/>
            </w:tcBorders>
            <w:shd w:val="clear" w:color="auto" w:fill="D2CAB6" w:themeFill="background2" w:themeFillShade="E6"/>
            <w:noWrap/>
            <w:vAlign w:val="center"/>
            <w:hideMark/>
          </w:tcPr>
          <w:p w14:paraId="4D775601"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763.55</w:t>
            </w:r>
          </w:p>
        </w:tc>
        <w:tc>
          <w:tcPr>
            <w:tcW w:w="1194" w:type="dxa"/>
            <w:tcBorders>
              <w:top w:val="nil"/>
              <w:left w:val="nil"/>
              <w:bottom w:val="nil"/>
              <w:right w:val="nil"/>
            </w:tcBorders>
            <w:shd w:val="clear" w:color="auto" w:fill="D2CAB6" w:themeFill="background2" w:themeFillShade="E6"/>
            <w:noWrap/>
            <w:vAlign w:val="center"/>
            <w:hideMark/>
          </w:tcPr>
          <w:p w14:paraId="762B40BF"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823.16</w:t>
            </w:r>
          </w:p>
        </w:tc>
        <w:tc>
          <w:tcPr>
            <w:tcW w:w="1089" w:type="dxa"/>
            <w:tcBorders>
              <w:top w:val="nil"/>
              <w:left w:val="nil"/>
              <w:bottom w:val="nil"/>
              <w:right w:val="single" w:sz="18" w:space="0" w:color="auto"/>
            </w:tcBorders>
            <w:shd w:val="clear" w:color="auto" w:fill="D2CAB6" w:themeFill="background2" w:themeFillShade="E6"/>
            <w:noWrap/>
            <w:vAlign w:val="center"/>
            <w:hideMark/>
          </w:tcPr>
          <w:p w14:paraId="745FDE2A"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7.81</w:t>
            </w:r>
          </w:p>
        </w:tc>
      </w:tr>
      <w:tr w:rsidR="00D305EA" w:rsidRPr="002F31F6" w14:paraId="5064226D"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129CB996"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Africa Export Import Bank</w:t>
            </w:r>
          </w:p>
        </w:tc>
        <w:tc>
          <w:tcPr>
            <w:tcW w:w="1194" w:type="dxa"/>
            <w:tcBorders>
              <w:top w:val="nil"/>
              <w:left w:val="nil"/>
              <w:bottom w:val="nil"/>
              <w:right w:val="nil"/>
            </w:tcBorders>
            <w:shd w:val="clear" w:color="auto" w:fill="auto"/>
            <w:noWrap/>
            <w:vAlign w:val="center"/>
            <w:hideMark/>
          </w:tcPr>
          <w:p w14:paraId="21887D92"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691.97</w:t>
            </w:r>
          </w:p>
        </w:tc>
        <w:tc>
          <w:tcPr>
            <w:tcW w:w="1194" w:type="dxa"/>
            <w:tcBorders>
              <w:top w:val="nil"/>
              <w:left w:val="nil"/>
              <w:bottom w:val="nil"/>
              <w:right w:val="nil"/>
            </w:tcBorders>
            <w:shd w:val="clear" w:color="auto" w:fill="auto"/>
            <w:noWrap/>
            <w:vAlign w:val="center"/>
            <w:hideMark/>
          </w:tcPr>
          <w:p w14:paraId="0C4607DC"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644.62</w:t>
            </w:r>
          </w:p>
        </w:tc>
        <w:tc>
          <w:tcPr>
            <w:tcW w:w="1089" w:type="dxa"/>
            <w:tcBorders>
              <w:top w:val="nil"/>
              <w:left w:val="nil"/>
              <w:bottom w:val="nil"/>
              <w:right w:val="single" w:sz="18" w:space="0" w:color="auto"/>
            </w:tcBorders>
            <w:shd w:val="clear" w:color="000000" w:fill="FFFFFF"/>
            <w:noWrap/>
            <w:vAlign w:val="center"/>
            <w:hideMark/>
          </w:tcPr>
          <w:p w14:paraId="75A830C6"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-6.84</w:t>
            </w:r>
          </w:p>
        </w:tc>
      </w:tr>
      <w:tr w:rsidR="00D305EA" w:rsidRPr="002F31F6" w14:paraId="57FDC3FD"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2C898B3D"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Bank One</w:t>
            </w:r>
          </w:p>
        </w:tc>
        <w:tc>
          <w:tcPr>
            <w:tcW w:w="1194" w:type="dxa"/>
            <w:tcBorders>
              <w:top w:val="nil"/>
              <w:left w:val="nil"/>
              <w:bottom w:val="nil"/>
              <w:right w:val="nil"/>
            </w:tcBorders>
            <w:shd w:val="clear" w:color="auto" w:fill="auto"/>
            <w:noWrap/>
            <w:vAlign w:val="center"/>
            <w:hideMark/>
          </w:tcPr>
          <w:p w14:paraId="33AF5C42"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w:t>
            </w:r>
          </w:p>
        </w:tc>
        <w:tc>
          <w:tcPr>
            <w:tcW w:w="1194" w:type="dxa"/>
            <w:tcBorders>
              <w:top w:val="nil"/>
              <w:left w:val="nil"/>
              <w:bottom w:val="nil"/>
              <w:right w:val="nil"/>
            </w:tcBorders>
            <w:shd w:val="clear" w:color="auto" w:fill="auto"/>
            <w:noWrap/>
            <w:vAlign w:val="center"/>
            <w:hideMark/>
          </w:tcPr>
          <w:p w14:paraId="6973132F"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112.89</w:t>
            </w:r>
          </w:p>
        </w:tc>
        <w:tc>
          <w:tcPr>
            <w:tcW w:w="1089" w:type="dxa"/>
            <w:tcBorders>
              <w:top w:val="nil"/>
              <w:left w:val="nil"/>
              <w:bottom w:val="nil"/>
              <w:right w:val="single" w:sz="18" w:space="0" w:color="auto"/>
            </w:tcBorders>
            <w:shd w:val="clear" w:color="000000" w:fill="FFFFFF"/>
            <w:noWrap/>
            <w:vAlign w:val="center"/>
            <w:hideMark/>
          </w:tcPr>
          <w:p w14:paraId="7EB3EFA7"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w:t>
            </w:r>
          </w:p>
        </w:tc>
      </w:tr>
      <w:tr w:rsidR="00D305EA" w:rsidRPr="002F31F6" w14:paraId="65EFD303"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3D54B786"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ICBC London</w:t>
            </w:r>
          </w:p>
        </w:tc>
        <w:tc>
          <w:tcPr>
            <w:tcW w:w="1194" w:type="dxa"/>
            <w:tcBorders>
              <w:top w:val="nil"/>
              <w:left w:val="nil"/>
              <w:bottom w:val="nil"/>
              <w:right w:val="nil"/>
            </w:tcBorders>
            <w:shd w:val="clear" w:color="auto" w:fill="auto"/>
            <w:noWrap/>
            <w:vAlign w:val="center"/>
            <w:hideMark/>
          </w:tcPr>
          <w:p w14:paraId="761157C2"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61.27</w:t>
            </w:r>
          </w:p>
        </w:tc>
        <w:tc>
          <w:tcPr>
            <w:tcW w:w="1194" w:type="dxa"/>
            <w:tcBorders>
              <w:top w:val="nil"/>
              <w:left w:val="nil"/>
              <w:bottom w:val="nil"/>
              <w:right w:val="nil"/>
            </w:tcBorders>
            <w:shd w:val="clear" w:color="auto" w:fill="auto"/>
            <w:noWrap/>
            <w:vAlign w:val="center"/>
            <w:hideMark/>
          </w:tcPr>
          <w:p w14:paraId="1260A3A4"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61.18</w:t>
            </w:r>
          </w:p>
        </w:tc>
        <w:tc>
          <w:tcPr>
            <w:tcW w:w="1089" w:type="dxa"/>
            <w:tcBorders>
              <w:top w:val="nil"/>
              <w:left w:val="nil"/>
              <w:bottom w:val="nil"/>
              <w:right w:val="single" w:sz="18" w:space="0" w:color="auto"/>
            </w:tcBorders>
            <w:shd w:val="clear" w:color="000000" w:fill="FFFFFF"/>
            <w:noWrap/>
            <w:vAlign w:val="center"/>
            <w:hideMark/>
          </w:tcPr>
          <w:p w14:paraId="20728F4A"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-0.15</w:t>
            </w:r>
          </w:p>
        </w:tc>
      </w:tr>
      <w:tr w:rsidR="00D305EA" w:rsidRPr="002F31F6" w14:paraId="175A3B03" w14:textId="77777777" w:rsidTr="00807C0D">
        <w:trPr>
          <w:trHeight w:val="287"/>
        </w:trPr>
        <w:tc>
          <w:tcPr>
            <w:tcW w:w="5487" w:type="dxa"/>
            <w:tcBorders>
              <w:top w:val="nil"/>
              <w:left w:val="single" w:sz="18" w:space="0" w:color="auto"/>
              <w:bottom w:val="nil"/>
              <w:right w:val="nil"/>
            </w:tcBorders>
            <w:shd w:val="clear" w:color="auto" w:fill="auto"/>
            <w:noWrap/>
            <w:vAlign w:val="center"/>
            <w:hideMark/>
          </w:tcPr>
          <w:p w14:paraId="3C7EFEB8" w14:textId="77777777" w:rsidR="00D305EA" w:rsidRPr="002F31F6" w:rsidRDefault="00D305EA" w:rsidP="00D305EA">
            <w:pPr>
              <w:spacing w:after="0"/>
              <w:jc w:val="lef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Standard Bank Joburg</w:t>
            </w:r>
          </w:p>
        </w:tc>
        <w:tc>
          <w:tcPr>
            <w:tcW w:w="1194" w:type="dxa"/>
            <w:tcBorders>
              <w:top w:val="nil"/>
              <w:left w:val="nil"/>
              <w:bottom w:val="nil"/>
              <w:right w:val="nil"/>
            </w:tcBorders>
            <w:shd w:val="clear" w:color="auto" w:fill="auto"/>
            <w:noWrap/>
            <w:vAlign w:val="center"/>
            <w:hideMark/>
          </w:tcPr>
          <w:p w14:paraId="6EFEB082"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4.88</w:t>
            </w:r>
          </w:p>
        </w:tc>
        <w:tc>
          <w:tcPr>
            <w:tcW w:w="1194" w:type="dxa"/>
            <w:tcBorders>
              <w:top w:val="nil"/>
              <w:left w:val="nil"/>
              <w:bottom w:val="nil"/>
              <w:right w:val="nil"/>
            </w:tcBorders>
            <w:shd w:val="clear" w:color="auto" w:fill="auto"/>
            <w:noWrap/>
            <w:vAlign w:val="center"/>
            <w:hideMark/>
          </w:tcPr>
          <w:p w14:paraId="3BC658FF"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4.47</w:t>
            </w:r>
          </w:p>
        </w:tc>
        <w:tc>
          <w:tcPr>
            <w:tcW w:w="1089" w:type="dxa"/>
            <w:tcBorders>
              <w:top w:val="nil"/>
              <w:left w:val="nil"/>
              <w:bottom w:val="nil"/>
              <w:right w:val="single" w:sz="18" w:space="0" w:color="auto"/>
            </w:tcBorders>
            <w:shd w:val="clear" w:color="000000" w:fill="FFFFFF"/>
            <w:noWrap/>
            <w:vAlign w:val="center"/>
            <w:hideMark/>
          </w:tcPr>
          <w:p w14:paraId="43510C86"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-8.40</w:t>
            </w:r>
          </w:p>
        </w:tc>
      </w:tr>
      <w:tr w:rsidR="00D305EA" w:rsidRPr="002F31F6" w14:paraId="07EF5849" w14:textId="77777777" w:rsidTr="00807C0D">
        <w:trPr>
          <w:trHeight w:val="311"/>
        </w:trPr>
        <w:tc>
          <w:tcPr>
            <w:tcW w:w="5487" w:type="dxa"/>
            <w:tcBorders>
              <w:top w:val="nil"/>
              <w:left w:val="single" w:sz="18" w:space="0" w:color="auto"/>
              <w:bottom w:val="nil"/>
              <w:right w:val="nil"/>
            </w:tcBorders>
            <w:shd w:val="clear" w:color="auto" w:fill="auto"/>
            <w:noWrap/>
            <w:vAlign w:val="center"/>
            <w:hideMark/>
          </w:tcPr>
          <w:p w14:paraId="7B969CC1" w14:textId="77777777" w:rsidR="00D305EA" w:rsidRPr="002F31F6" w:rsidRDefault="00D305EA" w:rsidP="00D305EA">
            <w:pPr>
              <w:spacing w:after="0"/>
              <w:jc w:val="left"/>
              <w:rPr>
                <w:rFonts w:ascii="Book Antiqua" w:hAnsi="Book Antiqua"/>
                <w:color w:val="000000"/>
                <w:lang w:eastAsia="en-GB"/>
              </w:rPr>
            </w:pPr>
            <w:r w:rsidRPr="002F31F6">
              <w:rPr>
                <w:rFonts w:ascii="Book Antiqua" w:hAnsi="Book Antiqua"/>
                <w:color w:val="000000"/>
                <w:lang w:eastAsia="en-GB"/>
              </w:rPr>
              <w:t>Stanbic Bank ITF Joburg</w:t>
            </w:r>
          </w:p>
        </w:tc>
        <w:tc>
          <w:tcPr>
            <w:tcW w:w="1194" w:type="dxa"/>
            <w:tcBorders>
              <w:top w:val="nil"/>
              <w:left w:val="nil"/>
              <w:bottom w:val="nil"/>
              <w:right w:val="nil"/>
            </w:tcBorders>
            <w:shd w:val="clear" w:color="auto" w:fill="auto"/>
            <w:noWrap/>
            <w:vAlign w:val="center"/>
            <w:hideMark/>
          </w:tcPr>
          <w:p w14:paraId="5C08A0EE"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5.43</w:t>
            </w:r>
          </w:p>
        </w:tc>
        <w:tc>
          <w:tcPr>
            <w:tcW w:w="1194" w:type="dxa"/>
            <w:tcBorders>
              <w:top w:val="nil"/>
              <w:left w:val="nil"/>
              <w:bottom w:val="nil"/>
              <w:right w:val="nil"/>
            </w:tcBorders>
            <w:shd w:val="clear" w:color="auto" w:fill="auto"/>
            <w:noWrap/>
            <w:vAlign w:val="center"/>
            <w:hideMark/>
          </w:tcPr>
          <w:p w14:paraId="5212BE60"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w:t>
            </w:r>
          </w:p>
        </w:tc>
        <w:tc>
          <w:tcPr>
            <w:tcW w:w="1089" w:type="dxa"/>
            <w:tcBorders>
              <w:top w:val="nil"/>
              <w:left w:val="nil"/>
              <w:bottom w:val="nil"/>
              <w:right w:val="single" w:sz="18" w:space="0" w:color="auto"/>
            </w:tcBorders>
            <w:shd w:val="clear" w:color="000000" w:fill="FFFFFF"/>
            <w:noWrap/>
            <w:vAlign w:val="center"/>
            <w:hideMark/>
          </w:tcPr>
          <w:p w14:paraId="341E42A4" w14:textId="77777777" w:rsidR="00D305EA" w:rsidRPr="002F31F6" w:rsidRDefault="00D305EA" w:rsidP="00D305EA">
            <w:pPr>
              <w:spacing w:after="0"/>
              <w:jc w:val="right"/>
              <w:rPr>
                <w:rFonts w:ascii="Bookman Old Style" w:hAnsi="Bookman Old Style"/>
                <w:color w:val="000000"/>
                <w:sz w:val="22"/>
                <w:szCs w:val="22"/>
                <w:lang w:eastAsia="en-GB"/>
              </w:rPr>
            </w:pPr>
            <w:r w:rsidRPr="002F31F6">
              <w:rPr>
                <w:rFonts w:ascii="Bookman Old Style" w:hAnsi="Bookman Old Style"/>
                <w:color w:val="000000"/>
                <w:sz w:val="22"/>
                <w:szCs w:val="22"/>
                <w:lang w:eastAsia="en-GB"/>
              </w:rPr>
              <w:t>-</w:t>
            </w:r>
          </w:p>
        </w:tc>
      </w:tr>
      <w:tr w:rsidR="00D305EA" w:rsidRPr="002F31F6" w14:paraId="5AFA7BF6" w14:textId="77777777" w:rsidTr="00807C0D">
        <w:trPr>
          <w:trHeight w:val="311"/>
        </w:trPr>
        <w:tc>
          <w:tcPr>
            <w:tcW w:w="5487" w:type="dxa"/>
            <w:tcBorders>
              <w:top w:val="nil"/>
              <w:left w:val="single" w:sz="18" w:space="0" w:color="auto"/>
              <w:bottom w:val="nil"/>
              <w:right w:val="nil"/>
            </w:tcBorders>
            <w:shd w:val="clear" w:color="auto" w:fill="auto"/>
            <w:noWrap/>
            <w:vAlign w:val="center"/>
            <w:hideMark/>
          </w:tcPr>
          <w:p w14:paraId="041A9FAC" w14:textId="77777777" w:rsidR="00D305EA" w:rsidRPr="002F31F6" w:rsidRDefault="00D305EA" w:rsidP="00D305EA">
            <w:pPr>
              <w:spacing w:after="0"/>
              <w:jc w:val="right"/>
              <w:rPr>
                <w:rFonts w:ascii="Bookman Old Style" w:hAnsi="Bookman Old Style"/>
                <w:color w:val="000000"/>
                <w:sz w:val="22"/>
                <w:szCs w:val="22"/>
                <w:lang w:eastAsia="en-GB"/>
              </w:rPr>
            </w:pPr>
          </w:p>
        </w:tc>
        <w:tc>
          <w:tcPr>
            <w:tcW w:w="1194" w:type="dxa"/>
            <w:tcBorders>
              <w:top w:val="nil"/>
              <w:left w:val="nil"/>
              <w:right w:val="nil"/>
            </w:tcBorders>
            <w:shd w:val="clear" w:color="auto" w:fill="auto"/>
            <w:noWrap/>
            <w:vAlign w:val="bottom"/>
            <w:hideMark/>
          </w:tcPr>
          <w:p w14:paraId="0C6C30FA" w14:textId="77777777" w:rsidR="00D305EA" w:rsidRPr="002F31F6" w:rsidRDefault="00D305EA" w:rsidP="00D305EA">
            <w:pPr>
              <w:spacing w:after="0"/>
              <w:jc w:val="left"/>
              <w:rPr>
                <w:sz w:val="20"/>
                <w:szCs w:val="20"/>
                <w:lang w:eastAsia="en-GB"/>
              </w:rPr>
            </w:pPr>
          </w:p>
        </w:tc>
        <w:tc>
          <w:tcPr>
            <w:tcW w:w="1194" w:type="dxa"/>
            <w:tcBorders>
              <w:top w:val="nil"/>
              <w:left w:val="nil"/>
              <w:right w:val="nil"/>
            </w:tcBorders>
            <w:shd w:val="clear" w:color="auto" w:fill="auto"/>
            <w:noWrap/>
            <w:vAlign w:val="bottom"/>
            <w:hideMark/>
          </w:tcPr>
          <w:p w14:paraId="2D9F8FBC" w14:textId="77777777" w:rsidR="00D305EA" w:rsidRPr="002F31F6" w:rsidRDefault="00D305EA" w:rsidP="00D305EA">
            <w:pPr>
              <w:spacing w:after="0"/>
              <w:jc w:val="left"/>
              <w:rPr>
                <w:sz w:val="20"/>
                <w:szCs w:val="20"/>
                <w:lang w:eastAsia="en-GB"/>
              </w:rPr>
            </w:pPr>
          </w:p>
        </w:tc>
        <w:tc>
          <w:tcPr>
            <w:tcW w:w="1089" w:type="dxa"/>
            <w:tcBorders>
              <w:top w:val="nil"/>
              <w:left w:val="nil"/>
              <w:right w:val="single" w:sz="18" w:space="0" w:color="auto"/>
            </w:tcBorders>
            <w:shd w:val="clear" w:color="000000" w:fill="FFFFFF"/>
            <w:noWrap/>
            <w:vAlign w:val="center"/>
            <w:hideMark/>
          </w:tcPr>
          <w:p w14:paraId="5D59D984"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 </w:t>
            </w:r>
          </w:p>
        </w:tc>
      </w:tr>
      <w:tr w:rsidR="00D305EA" w:rsidRPr="002F31F6" w14:paraId="5305EB5A" w14:textId="77777777" w:rsidTr="00807C0D">
        <w:trPr>
          <w:trHeight w:val="299"/>
        </w:trPr>
        <w:tc>
          <w:tcPr>
            <w:tcW w:w="5487" w:type="dxa"/>
            <w:tcBorders>
              <w:top w:val="nil"/>
              <w:left w:val="single" w:sz="18" w:space="0" w:color="auto"/>
              <w:bottom w:val="single" w:sz="18" w:space="0" w:color="auto"/>
              <w:right w:val="nil"/>
            </w:tcBorders>
            <w:shd w:val="clear" w:color="auto" w:fill="D2CAB6" w:themeFill="background2" w:themeFillShade="E6"/>
            <w:noWrap/>
            <w:vAlign w:val="center"/>
            <w:hideMark/>
          </w:tcPr>
          <w:p w14:paraId="5672727E" w14:textId="77777777" w:rsidR="00D305EA" w:rsidRPr="002F31F6" w:rsidRDefault="00D305EA" w:rsidP="00D305EA">
            <w:pPr>
              <w:spacing w:after="0"/>
              <w:jc w:val="lef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Total Public External Debt Stock (1+2+3)</w:t>
            </w:r>
          </w:p>
        </w:tc>
        <w:tc>
          <w:tcPr>
            <w:tcW w:w="1194" w:type="dxa"/>
            <w:tcBorders>
              <w:top w:val="nil"/>
              <w:left w:val="nil"/>
              <w:bottom w:val="single" w:sz="18" w:space="0" w:color="auto"/>
              <w:right w:val="nil"/>
            </w:tcBorders>
            <w:shd w:val="clear" w:color="auto" w:fill="D2CAB6" w:themeFill="background2" w:themeFillShade="E6"/>
            <w:noWrap/>
            <w:vAlign w:val="center"/>
            <w:hideMark/>
          </w:tcPr>
          <w:p w14:paraId="7F9F3BB6"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3151.78</w:t>
            </w:r>
          </w:p>
        </w:tc>
        <w:tc>
          <w:tcPr>
            <w:tcW w:w="1194" w:type="dxa"/>
            <w:tcBorders>
              <w:top w:val="nil"/>
              <w:left w:val="nil"/>
              <w:bottom w:val="single" w:sz="18" w:space="0" w:color="auto"/>
              <w:right w:val="nil"/>
            </w:tcBorders>
            <w:shd w:val="clear" w:color="auto" w:fill="D2CAB6" w:themeFill="background2" w:themeFillShade="E6"/>
            <w:noWrap/>
            <w:vAlign w:val="center"/>
            <w:hideMark/>
          </w:tcPr>
          <w:p w14:paraId="1AC2C38F"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3586.78</w:t>
            </w:r>
          </w:p>
        </w:tc>
        <w:tc>
          <w:tcPr>
            <w:tcW w:w="1089" w:type="dxa"/>
            <w:tcBorders>
              <w:top w:val="nil"/>
              <w:left w:val="nil"/>
              <w:bottom w:val="single" w:sz="18" w:space="0" w:color="auto"/>
              <w:right w:val="single" w:sz="18" w:space="0" w:color="auto"/>
            </w:tcBorders>
            <w:shd w:val="clear" w:color="auto" w:fill="D2CAB6" w:themeFill="background2" w:themeFillShade="E6"/>
            <w:noWrap/>
            <w:vAlign w:val="center"/>
            <w:hideMark/>
          </w:tcPr>
          <w:p w14:paraId="3CD503F7" w14:textId="77777777" w:rsidR="00D305EA" w:rsidRPr="002F31F6" w:rsidRDefault="00D305EA" w:rsidP="00D305EA">
            <w:pPr>
              <w:spacing w:after="0"/>
              <w:jc w:val="right"/>
              <w:rPr>
                <w:rFonts w:ascii="Bookman Old Style" w:hAnsi="Bookman Old Style"/>
                <w:b/>
                <w:bCs/>
                <w:color w:val="000000"/>
                <w:sz w:val="22"/>
                <w:szCs w:val="22"/>
                <w:lang w:eastAsia="en-GB"/>
              </w:rPr>
            </w:pPr>
            <w:r w:rsidRPr="002F31F6">
              <w:rPr>
                <w:rFonts w:ascii="Bookman Old Style" w:hAnsi="Bookman Old Style"/>
                <w:b/>
                <w:bCs/>
                <w:color w:val="000000"/>
                <w:sz w:val="22"/>
                <w:szCs w:val="22"/>
                <w:lang w:eastAsia="en-GB"/>
              </w:rPr>
              <w:t>13.80</w:t>
            </w:r>
          </w:p>
        </w:tc>
      </w:tr>
    </w:tbl>
    <w:p w14:paraId="3D614FAE" w14:textId="78A1FEA8" w:rsidR="0021011A" w:rsidRDefault="0042692A" w:rsidP="00343666">
      <w:pPr>
        <w:spacing w:before="240" w:line="360" w:lineRule="auto"/>
        <w:rPr>
          <w:rFonts w:ascii="Bookman Old Style" w:hAnsi="Bookman Old Style"/>
          <w:lang w:val="en-US"/>
        </w:rPr>
      </w:pPr>
      <w:r>
        <w:rPr>
          <w:rFonts w:ascii="Bookman Old Style" w:hAnsi="Bookman Old Style"/>
          <w:lang w:val="en-US"/>
        </w:rPr>
        <w:t>Source: MoF staff calculations.</w:t>
      </w:r>
    </w:p>
    <w:p w14:paraId="462C1F9B" w14:textId="2598A6F6" w:rsidR="00807C0D" w:rsidRDefault="00807C0D" w:rsidP="00807C0D">
      <w:pPr>
        <w:pStyle w:val="Heading2"/>
      </w:pPr>
      <w:bookmarkStart w:id="50" w:name="_Toc88660848"/>
      <w:r w:rsidRPr="00C116C2">
        <w:lastRenderedPageBreak/>
        <w:t>3.</w:t>
      </w:r>
      <w:r w:rsidR="007221FA">
        <w:t>3</w:t>
      </w:r>
      <w:r>
        <w:t xml:space="preserve"> </w:t>
      </w:r>
      <w:r w:rsidRPr="00B70677">
        <w:t>External</w:t>
      </w:r>
      <w:r w:rsidRPr="00C116C2">
        <w:t xml:space="preserve"> Debt by </w:t>
      </w:r>
      <w:r>
        <w:t>Creditor Category</w:t>
      </w:r>
      <w:bookmarkEnd w:id="50"/>
    </w:p>
    <w:p w14:paraId="25C56071" w14:textId="77777777" w:rsidR="00807C0D" w:rsidRDefault="00807C0D" w:rsidP="00807C0D">
      <w:pPr>
        <w:tabs>
          <w:tab w:val="left" w:pos="1416"/>
        </w:tabs>
      </w:pPr>
      <w:r>
        <w:tab/>
      </w:r>
    </w:p>
    <w:p w14:paraId="20118E71" w14:textId="77777777" w:rsidR="00807C0D" w:rsidRDefault="00807C0D" w:rsidP="00807C0D">
      <w:pPr>
        <w:tabs>
          <w:tab w:val="left" w:pos="1416"/>
        </w:tabs>
      </w:pPr>
    </w:p>
    <w:p w14:paraId="5C925227" w14:textId="77777777" w:rsidR="00807C0D" w:rsidRDefault="00807C0D" w:rsidP="00807C0D">
      <w:pPr>
        <w:spacing w:line="360" w:lineRule="auto"/>
        <w:rPr>
          <w:rFonts w:ascii="Bookman Old Style" w:hAnsi="Bookman Old Style"/>
        </w:rPr>
      </w:pPr>
      <w:r w:rsidRPr="002C3828">
        <w:rPr>
          <w:rFonts w:ascii="Bookman Old Style" w:hAnsi="Bookman Old Style"/>
        </w:rPr>
        <w:t>The external debt portfolio comprises multilateral</w:t>
      </w:r>
      <w:r>
        <w:rPr>
          <w:rFonts w:ascii="Bookman Old Style" w:hAnsi="Bookman Old Style"/>
        </w:rPr>
        <w:t>,</w:t>
      </w:r>
      <w:r w:rsidRPr="002C3828">
        <w:rPr>
          <w:rFonts w:ascii="Bookman Old Style" w:hAnsi="Bookman Old Style"/>
        </w:rPr>
        <w:t xml:space="preserve"> bilateral </w:t>
      </w:r>
      <w:r>
        <w:rPr>
          <w:rFonts w:ascii="Bookman Old Style" w:hAnsi="Bookman Old Style"/>
        </w:rPr>
        <w:t xml:space="preserve">and commercial creditors. RBM holds the bulk of debt owed to commercial creditors. </w:t>
      </w:r>
    </w:p>
    <w:p w14:paraId="79B36E6F" w14:textId="768D3D72" w:rsidR="00807C0D" w:rsidRPr="007314EA" w:rsidRDefault="00807C0D" w:rsidP="00807C0D">
      <w:pPr>
        <w:spacing w:before="240" w:line="360" w:lineRule="auto"/>
        <w:rPr>
          <w:rFonts w:ascii="Bookman Old Style" w:hAnsi="Bookman Old Style"/>
          <w:lang w:val="en-US"/>
        </w:rPr>
      </w:pPr>
      <w:r>
        <w:rPr>
          <w:rFonts w:ascii="Bookman Old Style" w:hAnsi="Bookman Old Style"/>
        </w:rPr>
        <w:t xml:space="preserve">As depicted in Table 4, </w:t>
      </w:r>
      <w:r w:rsidRPr="007314EA">
        <w:rPr>
          <w:rFonts w:ascii="Bookman Old Style" w:hAnsi="Bookman Old Style"/>
        </w:rPr>
        <w:t xml:space="preserve">multilateral creditors continue to account for the largest proportion of Malawi’s external debt. </w:t>
      </w:r>
      <w:r>
        <w:rPr>
          <w:rFonts w:ascii="Bookman Old Style" w:hAnsi="Bookman Old Style"/>
        </w:rPr>
        <w:t>Their share increased by 17 percent between the two periods. Commercial creditors followed and increased holdings by 8 percent at end-June 2021. Bilateral creditors were the least and increased their holdings by 10 percent</w:t>
      </w:r>
    </w:p>
    <w:p w14:paraId="593A91BD" w14:textId="596846E1" w:rsidR="0021011A" w:rsidRPr="00C116C2" w:rsidRDefault="0021011A" w:rsidP="0021011A">
      <w:pPr>
        <w:pStyle w:val="Heading2"/>
      </w:pPr>
      <w:bookmarkStart w:id="51" w:name="_Toc88660850"/>
      <w:r>
        <w:t>3.</w:t>
      </w:r>
      <w:r w:rsidR="00A42C03">
        <w:t>4</w:t>
      </w:r>
      <w:r>
        <w:t xml:space="preserve"> </w:t>
      </w:r>
      <w:r w:rsidRPr="00C116C2">
        <w:t>E</w:t>
      </w:r>
      <w:r>
        <w:t xml:space="preserve">xternal Public </w:t>
      </w:r>
      <w:r w:rsidRPr="00B70677">
        <w:t>Debt</w:t>
      </w:r>
      <w:r>
        <w:t xml:space="preserve"> </w:t>
      </w:r>
      <w:r w:rsidRPr="00C116C2">
        <w:t>by Currency</w:t>
      </w:r>
      <w:bookmarkEnd w:id="51"/>
    </w:p>
    <w:p w14:paraId="3EAFEDD2" w14:textId="5CD904F7" w:rsidR="006B19B0" w:rsidRDefault="006B19B0" w:rsidP="0021011A">
      <w:pPr>
        <w:spacing w:line="360" w:lineRule="auto"/>
        <w:rPr>
          <w:rFonts w:ascii="Bookman Old Style" w:hAnsi="Bookman Old Style"/>
        </w:rPr>
      </w:pPr>
    </w:p>
    <w:p w14:paraId="2B34A7A7" w14:textId="42D5882C" w:rsidR="005220BE" w:rsidRDefault="0024402C" w:rsidP="0021011A">
      <w:pPr>
        <w:spacing w:line="360" w:lineRule="auto"/>
        <w:rPr>
          <w:rFonts w:ascii="Bookman Old Style" w:hAnsi="Bookman Old Style"/>
        </w:rPr>
      </w:pPr>
      <w:r>
        <w:rPr>
          <w:rFonts w:ascii="Bookman Old Style" w:hAnsi="Bookman Old Style"/>
        </w:rPr>
        <w:t xml:space="preserve">As </w:t>
      </w:r>
      <w:r w:rsidR="006B19B0">
        <w:rPr>
          <w:rFonts w:ascii="Bookman Old Style" w:hAnsi="Bookman Old Style"/>
        </w:rPr>
        <w:t>at end-June 2021, Special</w:t>
      </w:r>
      <w:r w:rsidR="0021011A" w:rsidRPr="007314EA">
        <w:rPr>
          <w:rFonts w:ascii="Bookman Old Style" w:hAnsi="Bookman Old Style"/>
        </w:rPr>
        <w:t xml:space="preserve"> Drawing Rights</w:t>
      </w:r>
      <w:r w:rsidR="00D50867">
        <w:rPr>
          <w:rFonts w:ascii="Bookman Old Style" w:hAnsi="Bookman Old Style"/>
        </w:rPr>
        <w:t xml:space="preserve"> (SDR)</w:t>
      </w:r>
      <w:r w:rsidR="0021011A" w:rsidRPr="007314EA">
        <w:rPr>
          <w:rFonts w:ascii="Bookman Old Style" w:hAnsi="Bookman Old Style"/>
        </w:rPr>
        <w:t xml:space="preserve"> accounted </w:t>
      </w:r>
      <w:r w:rsidR="001C0DC1" w:rsidRPr="007314EA">
        <w:rPr>
          <w:rFonts w:ascii="Bookman Old Style" w:hAnsi="Bookman Old Style"/>
        </w:rPr>
        <w:t xml:space="preserve">for </w:t>
      </w:r>
      <w:r w:rsidR="00DF0AAA">
        <w:rPr>
          <w:rFonts w:ascii="Bookman Old Style" w:hAnsi="Bookman Old Style"/>
        </w:rPr>
        <w:t xml:space="preserve">60 </w:t>
      </w:r>
      <w:r w:rsidR="0021011A" w:rsidRPr="007314EA">
        <w:rPr>
          <w:rFonts w:ascii="Bookman Old Style" w:hAnsi="Bookman Old Style"/>
        </w:rPr>
        <w:t>percent</w:t>
      </w:r>
      <w:r w:rsidR="0021011A" w:rsidRPr="0085383B">
        <w:rPr>
          <w:rFonts w:ascii="Bookman Old Style" w:hAnsi="Bookman Old Style"/>
        </w:rPr>
        <w:t xml:space="preserve"> </w:t>
      </w:r>
      <w:r w:rsidR="0021011A">
        <w:rPr>
          <w:rFonts w:ascii="Bookman Old Style" w:hAnsi="Bookman Old Style"/>
        </w:rPr>
        <w:t>o</w:t>
      </w:r>
      <w:r w:rsidR="0021011A" w:rsidRPr="007314EA">
        <w:rPr>
          <w:rFonts w:ascii="Bookman Old Style" w:hAnsi="Bookman Old Style"/>
        </w:rPr>
        <w:t xml:space="preserve">f </w:t>
      </w:r>
      <w:r w:rsidR="0021011A">
        <w:rPr>
          <w:rFonts w:ascii="Bookman Old Style" w:hAnsi="Bookman Old Style"/>
        </w:rPr>
        <w:t>the total external public debt</w:t>
      </w:r>
      <w:r w:rsidR="0021011A" w:rsidRPr="007314EA">
        <w:rPr>
          <w:rFonts w:ascii="Bookman Old Style" w:hAnsi="Bookman Old Style"/>
        </w:rPr>
        <w:t>.</w:t>
      </w:r>
      <w:r w:rsidR="001C0DC1">
        <w:rPr>
          <w:rFonts w:ascii="Bookman Old Style" w:hAnsi="Bookman Old Style"/>
        </w:rPr>
        <w:t xml:space="preserve"> After </w:t>
      </w:r>
      <w:r w:rsidR="00DF0AAA">
        <w:rPr>
          <w:rFonts w:ascii="Bookman Old Style" w:hAnsi="Bookman Old Style"/>
        </w:rPr>
        <w:t>decomposing the SDR basket</w:t>
      </w:r>
      <w:r w:rsidR="001C0DC1">
        <w:rPr>
          <w:rFonts w:ascii="Bookman Old Style" w:hAnsi="Bookman Old Style"/>
        </w:rPr>
        <w:t xml:space="preserve"> </w:t>
      </w:r>
      <w:r w:rsidR="00DF0AAA">
        <w:rPr>
          <w:rFonts w:ascii="Bookman Old Style" w:hAnsi="Bookman Old Style"/>
        </w:rPr>
        <w:t xml:space="preserve">into its </w:t>
      </w:r>
      <w:r w:rsidR="0021011A">
        <w:rPr>
          <w:rFonts w:ascii="Bookman Old Style" w:hAnsi="Bookman Old Style"/>
        </w:rPr>
        <w:t>tradable currencies</w:t>
      </w:r>
      <w:r w:rsidR="001D2408">
        <w:rPr>
          <w:rStyle w:val="FootnoteReference"/>
          <w:rFonts w:ascii="Bookman Old Style" w:hAnsi="Bookman Old Style"/>
        </w:rPr>
        <w:footnoteReference w:id="5"/>
      </w:r>
      <w:r w:rsidR="001D2408">
        <w:rPr>
          <w:rFonts w:ascii="Bookman Old Style" w:hAnsi="Bookman Old Style"/>
        </w:rPr>
        <w:t>, the</w:t>
      </w:r>
      <w:r w:rsidR="0021011A" w:rsidRPr="007314EA">
        <w:rPr>
          <w:rFonts w:ascii="Bookman Old Style" w:hAnsi="Bookman Old Style"/>
        </w:rPr>
        <w:t xml:space="preserve"> USD accounted for the largest proportion</w:t>
      </w:r>
      <w:r w:rsidR="0021011A">
        <w:rPr>
          <w:rFonts w:ascii="Bookman Old Style" w:hAnsi="Bookman Old Style"/>
        </w:rPr>
        <w:t xml:space="preserve"> </w:t>
      </w:r>
      <w:r w:rsidR="001C0DC1">
        <w:rPr>
          <w:rFonts w:ascii="Bookman Old Style" w:hAnsi="Bookman Old Style"/>
        </w:rPr>
        <w:t xml:space="preserve">of external </w:t>
      </w:r>
      <w:r w:rsidR="00DF0AAA">
        <w:rPr>
          <w:rFonts w:ascii="Bookman Old Style" w:hAnsi="Bookman Old Style"/>
        </w:rPr>
        <w:t xml:space="preserve">debt at 42 </w:t>
      </w:r>
      <w:r w:rsidR="001C0DC1">
        <w:rPr>
          <w:rFonts w:ascii="Bookman Old Style" w:hAnsi="Bookman Old Style"/>
        </w:rPr>
        <w:t>percent followed</w:t>
      </w:r>
      <w:r w:rsidR="0021011A">
        <w:rPr>
          <w:rFonts w:ascii="Bookman Old Style" w:hAnsi="Bookman Old Style"/>
        </w:rPr>
        <w:t xml:space="preserve"> by</w:t>
      </w:r>
      <w:r w:rsidR="001C0DC1">
        <w:rPr>
          <w:rFonts w:ascii="Bookman Old Style" w:hAnsi="Bookman Old Style"/>
        </w:rPr>
        <w:t xml:space="preserve"> </w:t>
      </w:r>
      <w:r w:rsidR="0021011A">
        <w:rPr>
          <w:rFonts w:ascii="Bookman Old Style" w:hAnsi="Bookman Old Style"/>
        </w:rPr>
        <w:t>the EUR and CNY</w:t>
      </w:r>
      <w:r w:rsidR="0021011A" w:rsidRPr="007314EA">
        <w:rPr>
          <w:rFonts w:ascii="Bookman Old Style" w:hAnsi="Bookman Old Style"/>
        </w:rPr>
        <w:t xml:space="preserve"> </w:t>
      </w:r>
      <w:r w:rsidR="00DF0AAA">
        <w:rPr>
          <w:rFonts w:ascii="Bookman Old Style" w:hAnsi="Bookman Old Style"/>
        </w:rPr>
        <w:t>at 25</w:t>
      </w:r>
      <w:r w:rsidR="001C0DC1">
        <w:rPr>
          <w:rFonts w:ascii="Bookman Old Style" w:hAnsi="Bookman Old Style"/>
        </w:rPr>
        <w:t xml:space="preserve"> </w:t>
      </w:r>
      <w:r w:rsidR="0021011A" w:rsidRPr="007314EA">
        <w:rPr>
          <w:rFonts w:ascii="Bookman Old Style" w:hAnsi="Bookman Old Style"/>
        </w:rPr>
        <w:t>percent</w:t>
      </w:r>
      <w:r w:rsidR="00DF0AAA">
        <w:rPr>
          <w:rFonts w:ascii="Bookman Old Style" w:hAnsi="Bookman Old Style"/>
        </w:rPr>
        <w:t xml:space="preserve"> and 13</w:t>
      </w:r>
      <w:r w:rsidR="0021011A" w:rsidRPr="007314EA">
        <w:rPr>
          <w:rFonts w:ascii="Bookman Old Style" w:hAnsi="Bookman Old Style"/>
        </w:rPr>
        <w:t xml:space="preserve"> percent</w:t>
      </w:r>
      <w:r w:rsidR="0021011A">
        <w:rPr>
          <w:rFonts w:ascii="Bookman Old Style" w:hAnsi="Bookman Old Style"/>
        </w:rPr>
        <w:t>, respectively</w:t>
      </w:r>
      <w:r w:rsidR="0021011A" w:rsidRPr="007314EA">
        <w:rPr>
          <w:rFonts w:ascii="Bookman Old Style" w:hAnsi="Bookman Old Style"/>
        </w:rPr>
        <w:t>.</w:t>
      </w:r>
      <w:r w:rsidR="0021011A">
        <w:rPr>
          <w:rFonts w:ascii="Bookman Old Style" w:hAnsi="Bookman Old Style"/>
        </w:rPr>
        <w:t xml:space="preserve"> </w:t>
      </w:r>
      <w:r>
        <w:rPr>
          <w:rFonts w:ascii="Bookman Old Style" w:hAnsi="Bookman Old Style"/>
        </w:rPr>
        <w:t xml:space="preserve">Other currencies accounted for balance of </w:t>
      </w:r>
      <w:r w:rsidR="00DF0AAA">
        <w:rPr>
          <w:rFonts w:ascii="Bookman Old Style" w:hAnsi="Bookman Old Style"/>
        </w:rPr>
        <w:t>20</w:t>
      </w:r>
      <w:r w:rsidR="006E22C1">
        <w:rPr>
          <w:rFonts w:ascii="Bookman Old Style" w:hAnsi="Bookman Old Style"/>
        </w:rPr>
        <w:t>-percent.</w:t>
      </w:r>
      <w:r w:rsidR="007367DA">
        <w:rPr>
          <w:rFonts w:ascii="Bookman Old Style" w:hAnsi="Bookman Old Style"/>
        </w:rPr>
        <w:t xml:space="preserve"> </w:t>
      </w:r>
      <w:r w:rsidR="006E22C1">
        <w:rPr>
          <w:rFonts w:ascii="Bookman Old Style" w:hAnsi="Bookman Old Style"/>
        </w:rPr>
        <w:t>The</w:t>
      </w:r>
      <w:r>
        <w:rPr>
          <w:rFonts w:ascii="Bookman Old Style" w:hAnsi="Bookman Old Style"/>
        </w:rPr>
        <w:t xml:space="preserve"> ranking in external debt by currency has largely remained the same </w:t>
      </w:r>
      <w:r w:rsidR="00D50867">
        <w:rPr>
          <w:rFonts w:ascii="Bookman Old Style" w:hAnsi="Bookman Old Style"/>
        </w:rPr>
        <w:t>during</w:t>
      </w:r>
      <w:r>
        <w:rPr>
          <w:rFonts w:ascii="Bookman Old Style" w:hAnsi="Bookman Old Style"/>
        </w:rPr>
        <w:t xml:space="preserve"> the period under </w:t>
      </w:r>
      <w:r w:rsidR="005220BE">
        <w:rPr>
          <w:rFonts w:ascii="Bookman Old Style" w:hAnsi="Bookman Old Style"/>
        </w:rPr>
        <w:t xml:space="preserve">review. </w:t>
      </w:r>
    </w:p>
    <w:p w14:paraId="14D5C5BF" w14:textId="77777777" w:rsidR="00807C0D" w:rsidRDefault="00807C0D" w:rsidP="0021011A">
      <w:pPr>
        <w:spacing w:line="360" w:lineRule="auto"/>
        <w:rPr>
          <w:rFonts w:ascii="Bookman Old Style" w:hAnsi="Bookman Old Style"/>
        </w:rPr>
      </w:pPr>
    </w:p>
    <w:p w14:paraId="2700A751" w14:textId="6B7988F7" w:rsidR="00D60510" w:rsidRPr="00D60510" w:rsidRDefault="00D60510" w:rsidP="00D60510">
      <w:pPr>
        <w:pStyle w:val="Caption"/>
        <w:keepNext/>
        <w:jc w:val="both"/>
        <w:rPr>
          <w:rFonts w:ascii="Bookman Old Style" w:hAnsi="Bookman Old Style"/>
          <w:sz w:val="24"/>
          <w:szCs w:val="24"/>
        </w:rPr>
      </w:pPr>
      <w:bookmarkStart w:id="52" w:name="_Toc87373889"/>
      <w:bookmarkStart w:id="53" w:name="_Toc88660951"/>
      <w:r w:rsidRPr="00D60510">
        <w:rPr>
          <w:rFonts w:ascii="Bookman Old Style" w:hAnsi="Bookman Old Style"/>
          <w:sz w:val="24"/>
          <w:szCs w:val="24"/>
        </w:rPr>
        <w:t xml:space="preserve">Figure </w:t>
      </w:r>
      <w:r w:rsidRPr="00D60510">
        <w:rPr>
          <w:rFonts w:ascii="Bookman Old Style" w:hAnsi="Bookman Old Style"/>
          <w:sz w:val="24"/>
          <w:szCs w:val="24"/>
        </w:rPr>
        <w:fldChar w:fldCharType="begin"/>
      </w:r>
      <w:r w:rsidRPr="00D60510">
        <w:rPr>
          <w:rFonts w:ascii="Bookman Old Style" w:hAnsi="Bookman Old Style"/>
          <w:sz w:val="24"/>
          <w:szCs w:val="24"/>
        </w:rPr>
        <w:instrText xml:space="preserve"> SEQ Figure \* ARABIC </w:instrText>
      </w:r>
      <w:r w:rsidRPr="00D60510">
        <w:rPr>
          <w:rFonts w:ascii="Bookman Old Style" w:hAnsi="Bookman Old Style"/>
          <w:sz w:val="24"/>
          <w:szCs w:val="24"/>
        </w:rPr>
        <w:fldChar w:fldCharType="separate"/>
      </w:r>
      <w:r w:rsidR="00924FE2">
        <w:rPr>
          <w:rFonts w:ascii="Bookman Old Style" w:hAnsi="Bookman Old Style"/>
          <w:noProof/>
          <w:sz w:val="24"/>
          <w:szCs w:val="24"/>
        </w:rPr>
        <w:t>5</w:t>
      </w:r>
      <w:r w:rsidRPr="00D60510">
        <w:rPr>
          <w:rFonts w:ascii="Bookman Old Style" w:hAnsi="Bookman Old Style"/>
          <w:sz w:val="24"/>
          <w:szCs w:val="24"/>
        </w:rPr>
        <w:fldChar w:fldCharType="end"/>
      </w:r>
      <w:r w:rsidRPr="00D60510">
        <w:rPr>
          <w:rFonts w:ascii="Bookman Old Style" w:hAnsi="Bookman Old Style"/>
          <w:sz w:val="24"/>
          <w:szCs w:val="24"/>
        </w:rPr>
        <w:t>: External Debt Stock, by Currency as at end-June 2021</w:t>
      </w:r>
      <w:r>
        <w:rPr>
          <w:rStyle w:val="FootnoteReference"/>
          <w:rFonts w:ascii="Bookman Old Style" w:hAnsi="Bookman Old Style"/>
          <w:sz w:val="24"/>
          <w:szCs w:val="24"/>
        </w:rPr>
        <w:footnoteReference w:id="6"/>
      </w:r>
      <w:bookmarkEnd w:id="52"/>
      <w:bookmarkEnd w:id="53"/>
    </w:p>
    <w:p w14:paraId="5DF14D28" w14:textId="36E5979C" w:rsidR="0021011A" w:rsidRDefault="00DF0AAA" w:rsidP="005220BE">
      <w:pPr>
        <w:rPr>
          <w:rFonts w:ascii="Bookman Old Style" w:hAnsi="Bookman Old Style"/>
          <w:b/>
        </w:rPr>
      </w:pPr>
      <w:r w:rsidRPr="00494485">
        <w:rPr>
          <w:noProof/>
          <w:u w:val="single"/>
          <w:lang w:eastAsia="en-GB"/>
        </w:rPr>
        <w:drawing>
          <wp:inline distT="0" distB="0" distL="0" distR="0" wp14:anchorId="14870E52" wp14:editId="4591A65A">
            <wp:extent cx="2514600" cy="221742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494485">
        <w:rPr>
          <w:noProof/>
          <w:u w:val="single"/>
          <w:lang w:eastAsia="en-GB"/>
        </w:rPr>
        <w:drawing>
          <wp:inline distT="0" distB="0" distL="0" distR="0" wp14:anchorId="20F6004F" wp14:editId="441EE6DC">
            <wp:extent cx="2933700" cy="22479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D2E34A" w14:textId="7FB2C5AB" w:rsidR="005220BE" w:rsidRPr="00807C0D" w:rsidRDefault="0042692A" w:rsidP="00807C0D">
      <w:pPr>
        <w:spacing w:before="240" w:line="360" w:lineRule="auto"/>
        <w:rPr>
          <w:rFonts w:ascii="Bookman Old Style" w:hAnsi="Bookman Old Style"/>
          <w:lang w:val="en-US"/>
        </w:rPr>
      </w:pPr>
      <w:r>
        <w:rPr>
          <w:rFonts w:ascii="Bookman Old Style" w:hAnsi="Bookman Old Style"/>
          <w:lang w:val="en-US"/>
        </w:rPr>
        <w:t>Source: MoF staff calculations.</w:t>
      </w:r>
    </w:p>
    <w:p w14:paraId="432BF370" w14:textId="736D0299" w:rsidR="0009208A" w:rsidRDefault="0021011A" w:rsidP="003F2330">
      <w:pPr>
        <w:pStyle w:val="Heading1"/>
      </w:pPr>
      <w:bookmarkStart w:id="54" w:name="_Toc88660851"/>
      <w:r w:rsidRPr="000B2B72">
        <w:lastRenderedPageBreak/>
        <w:t>SECTION IV:  DOMESTIC PUBLIC DEBT PORTFOLIO REVIEW</w:t>
      </w:r>
      <w:bookmarkEnd w:id="54"/>
    </w:p>
    <w:p w14:paraId="5961D02C" w14:textId="38EF804F" w:rsidR="003F2330" w:rsidRPr="003F2330" w:rsidRDefault="003F2330" w:rsidP="003F2330"/>
    <w:p w14:paraId="11BC1571" w14:textId="3D5A0599" w:rsidR="0009208A" w:rsidRPr="003F2330" w:rsidRDefault="00D50867" w:rsidP="003F2330">
      <w:pPr>
        <w:spacing w:line="360" w:lineRule="auto"/>
        <w:rPr>
          <w:rFonts w:ascii="Bookman Old Style" w:hAnsi="Bookman Old Style"/>
        </w:rPr>
      </w:pPr>
      <w:r>
        <w:rPr>
          <w:rFonts w:ascii="Bookman Old Style" w:hAnsi="Bookman Old Style"/>
        </w:rPr>
        <w:t xml:space="preserve">At end- June </w:t>
      </w:r>
      <w:r w:rsidR="0009208A" w:rsidRPr="003F2330">
        <w:rPr>
          <w:rFonts w:ascii="Bookman Old Style" w:hAnsi="Bookman Old Style"/>
        </w:rPr>
        <w:t>2021, total domestic pu</w:t>
      </w:r>
      <w:r w:rsidR="005220BE">
        <w:rPr>
          <w:rFonts w:ascii="Bookman Old Style" w:hAnsi="Bookman Old Style"/>
        </w:rPr>
        <w:t xml:space="preserve">blic debt amounted to MK2.6 trillion up </w:t>
      </w:r>
      <w:r>
        <w:rPr>
          <w:rFonts w:ascii="Bookman Old Style" w:hAnsi="Bookman Old Style"/>
        </w:rPr>
        <w:t xml:space="preserve">by 42 percent </w:t>
      </w:r>
      <w:r w:rsidR="005220BE">
        <w:rPr>
          <w:rFonts w:ascii="Bookman Old Style" w:hAnsi="Bookman Old Style"/>
        </w:rPr>
        <w:t>from MK</w:t>
      </w:r>
      <w:r w:rsidR="0009208A" w:rsidRPr="003F2330">
        <w:rPr>
          <w:rFonts w:ascii="Bookman Old Style" w:hAnsi="Bookman Old Style"/>
        </w:rPr>
        <w:t xml:space="preserve">1.8 trillion </w:t>
      </w:r>
      <w:r>
        <w:rPr>
          <w:rFonts w:ascii="Bookman Old Style" w:hAnsi="Bookman Old Style"/>
        </w:rPr>
        <w:t>as at end-</w:t>
      </w:r>
      <w:r w:rsidR="0009208A" w:rsidRPr="003F2330">
        <w:rPr>
          <w:rFonts w:ascii="Bookman Old Style" w:hAnsi="Bookman Old Style"/>
        </w:rPr>
        <w:t>June 2020</w:t>
      </w:r>
      <w:r>
        <w:rPr>
          <w:rFonts w:ascii="Bookman Old Style" w:hAnsi="Bookman Old Style"/>
        </w:rPr>
        <w:t xml:space="preserve">. </w:t>
      </w:r>
      <w:r w:rsidR="006E22C1" w:rsidRPr="003F2330">
        <w:rPr>
          <w:rFonts w:ascii="Bookman Old Style" w:hAnsi="Bookman Old Style"/>
        </w:rPr>
        <w:t xml:space="preserve">The increase is due </w:t>
      </w:r>
      <w:r w:rsidR="005220BE" w:rsidRPr="003F2330">
        <w:rPr>
          <w:rFonts w:ascii="Bookman Old Style" w:hAnsi="Bookman Old Style"/>
        </w:rPr>
        <w:t>to the</w:t>
      </w:r>
      <w:r w:rsidR="007367DA">
        <w:rPr>
          <w:rFonts w:ascii="Bookman Old Style" w:hAnsi="Bookman Old Style"/>
        </w:rPr>
        <w:t xml:space="preserve"> significantly high deficit financing and debt refinancing requirements during the period. </w:t>
      </w:r>
      <w:r w:rsidR="006E22C1" w:rsidRPr="003F2330">
        <w:rPr>
          <w:rFonts w:ascii="Bookman Old Style" w:hAnsi="Bookman Old Style"/>
        </w:rPr>
        <w:t xml:space="preserve"> </w:t>
      </w:r>
    </w:p>
    <w:p w14:paraId="47F31293" w14:textId="77777777" w:rsidR="0094188D" w:rsidRPr="003F2330" w:rsidRDefault="0094188D" w:rsidP="003F2330">
      <w:pPr>
        <w:spacing w:line="360" w:lineRule="auto"/>
        <w:rPr>
          <w:rFonts w:ascii="Bookman Old Style" w:hAnsi="Bookman Old Style"/>
        </w:rPr>
      </w:pPr>
    </w:p>
    <w:p w14:paraId="771B0214" w14:textId="15C08A82" w:rsidR="0021011A" w:rsidRDefault="0021011A" w:rsidP="0021011A">
      <w:pPr>
        <w:pStyle w:val="Heading2"/>
      </w:pPr>
      <w:bookmarkStart w:id="55" w:name="_Toc88660852"/>
      <w:r w:rsidRPr="00B91EAE">
        <w:t xml:space="preserve">4.1 Domestic Debt by </w:t>
      </w:r>
      <w:r w:rsidRPr="00B70677">
        <w:t>Instrument</w:t>
      </w:r>
      <w:bookmarkEnd w:id="55"/>
    </w:p>
    <w:p w14:paraId="168E5281" w14:textId="77777777" w:rsidR="00514C59" w:rsidRPr="00514C59" w:rsidRDefault="00514C59" w:rsidP="00514C59"/>
    <w:p w14:paraId="6A76DB64" w14:textId="0B31BCA7" w:rsidR="007367DA" w:rsidRDefault="0009208A" w:rsidP="0021011A">
      <w:pPr>
        <w:spacing w:line="360" w:lineRule="auto"/>
        <w:rPr>
          <w:rFonts w:ascii="Bookman Old Style" w:hAnsi="Bookman Old Style"/>
        </w:rPr>
      </w:pPr>
      <w:r>
        <w:rPr>
          <w:rFonts w:ascii="Bookman Old Style" w:hAnsi="Bookman Old Style"/>
        </w:rPr>
        <w:t>Of the K2.6 trillion domestic</w:t>
      </w:r>
      <w:r w:rsidR="0021011A">
        <w:rPr>
          <w:rFonts w:ascii="Bookman Old Style" w:hAnsi="Bookman Old Style"/>
        </w:rPr>
        <w:t xml:space="preserve"> debt stock,</w:t>
      </w:r>
      <w:r w:rsidR="0021011A" w:rsidRPr="007314EA">
        <w:rPr>
          <w:rFonts w:ascii="Bookman Old Style" w:hAnsi="Bookman Old Style"/>
        </w:rPr>
        <w:t xml:space="preserve"> </w:t>
      </w:r>
      <w:r>
        <w:rPr>
          <w:rFonts w:ascii="Bookman Old Style" w:hAnsi="Bookman Old Style"/>
        </w:rPr>
        <w:t>82</w:t>
      </w:r>
      <w:r w:rsidR="0021011A" w:rsidRPr="007314EA">
        <w:rPr>
          <w:rFonts w:ascii="Bookman Old Style" w:hAnsi="Bookman Old Style"/>
        </w:rPr>
        <w:t xml:space="preserve"> percent</w:t>
      </w:r>
      <w:r w:rsidR="0079331F">
        <w:rPr>
          <w:rFonts w:ascii="Bookman Old Style" w:hAnsi="Bookman Old Style"/>
        </w:rPr>
        <w:t xml:space="preserve"> (MK2</w:t>
      </w:r>
      <w:r w:rsidR="002E3384">
        <w:rPr>
          <w:rFonts w:ascii="Bookman Old Style" w:hAnsi="Bookman Old Style"/>
        </w:rPr>
        <w:t>,099.52 b</w:t>
      </w:r>
      <w:r w:rsidR="0079331F">
        <w:rPr>
          <w:rFonts w:ascii="Bookman Old Style" w:hAnsi="Bookman Old Style"/>
        </w:rPr>
        <w:t>illion)</w:t>
      </w:r>
      <w:r w:rsidR="0021011A" w:rsidRPr="007314EA">
        <w:rPr>
          <w:rFonts w:ascii="Bookman Old Style" w:hAnsi="Bookman Old Style"/>
        </w:rPr>
        <w:t xml:space="preserve"> were Treasury Notes, </w:t>
      </w:r>
      <w:r>
        <w:rPr>
          <w:rFonts w:ascii="Bookman Old Style" w:hAnsi="Bookman Old Style"/>
        </w:rPr>
        <w:t>13 percent</w:t>
      </w:r>
      <w:r w:rsidR="002E3384">
        <w:rPr>
          <w:rFonts w:ascii="Bookman Old Style" w:hAnsi="Bookman Old Style"/>
        </w:rPr>
        <w:t xml:space="preserve"> (MK346.20 b</w:t>
      </w:r>
      <w:r w:rsidR="0079331F">
        <w:rPr>
          <w:rFonts w:ascii="Bookman Old Style" w:hAnsi="Bookman Old Style"/>
        </w:rPr>
        <w:t>illion)</w:t>
      </w:r>
      <w:r>
        <w:rPr>
          <w:rFonts w:ascii="Bookman Old Style" w:hAnsi="Bookman Old Style"/>
        </w:rPr>
        <w:t xml:space="preserve"> Treasury Bills</w:t>
      </w:r>
      <w:r w:rsidR="0079331F">
        <w:rPr>
          <w:rFonts w:ascii="Bookman Old Style" w:hAnsi="Bookman Old Style"/>
        </w:rPr>
        <w:t xml:space="preserve">, </w:t>
      </w:r>
      <w:r w:rsidR="00466420">
        <w:rPr>
          <w:rFonts w:ascii="Bookman Old Style" w:hAnsi="Bookman Old Style"/>
        </w:rPr>
        <w:t>and 5 percent (MK119.76</w:t>
      </w:r>
      <w:r w:rsidR="002E3384">
        <w:rPr>
          <w:rFonts w:ascii="Bookman Old Style" w:hAnsi="Bookman Old Style"/>
        </w:rPr>
        <w:t xml:space="preserve"> b</w:t>
      </w:r>
      <w:r w:rsidR="0079331F">
        <w:rPr>
          <w:rFonts w:ascii="Bookman Old Style" w:hAnsi="Bookman Old Style"/>
        </w:rPr>
        <w:t>illion) Promissory Notes</w:t>
      </w:r>
      <w:r>
        <w:rPr>
          <w:rFonts w:ascii="Bookman Old Style" w:hAnsi="Bookman Old Style"/>
        </w:rPr>
        <w:t xml:space="preserve">.  Holdings of these securities have increased over the two periods. </w:t>
      </w:r>
    </w:p>
    <w:p w14:paraId="728B048D" w14:textId="77777777" w:rsidR="005220BE" w:rsidRDefault="005220BE" w:rsidP="0021011A">
      <w:pPr>
        <w:spacing w:line="360" w:lineRule="auto"/>
        <w:rPr>
          <w:rFonts w:ascii="Bookman Old Style" w:hAnsi="Bookman Old Style"/>
        </w:rPr>
      </w:pPr>
    </w:p>
    <w:p w14:paraId="6CF50D64" w14:textId="1022018A" w:rsidR="000643E8" w:rsidRDefault="00D60510" w:rsidP="00D60510">
      <w:pPr>
        <w:pStyle w:val="Caption"/>
        <w:keepNext/>
        <w:jc w:val="both"/>
        <w:rPr>
          <w:rFonts w:ascii="Bookman Old Style" w:hAnsi="Bookman Old Style"/>
          <w:sz w:val="24"/>
          <w:szCs w:val="24"/>
        </w:rPr>
      </w:pPr>
      <w:bookmarkStart w:id="56" w:name="_Toc87373890"/>
      <w:bookmarkStart w:id="57" w:name="_Toc88660952"/>
      <w:r w:rsidRPr="00D60510">
        <w:rPr>
          <w:rFonts w:ascii="Bookman Old Style" w:hAnsi="Bookman Old Style"/>
          <w:sz w:val="24"/>
          <w:szCs w:val="24"/>
        </w:rPr>
        <w:t xml:space="preserve">Figure </w:t>
      </w:r>
      <w:r w:rsidRPr="00D60510">
        <w:rPr>
          <w:rFonts w:ascii="Bookman Old Style" w:hAnsi="Bookman Old Style"/>
          <w:sz w:val="24"/>
          <w:szCs w:val="24"/>
        </w:rPr>
        <w:fldChar w:fldCharType="begin"/>
      </w:r>
      <w:r w:rsidRPr="00D60510">
        <w:rPr>
          <w:rFonts w:ascii="Bookman Old Style" w:hAnsi="Bookman Old Style"/>
          <w:sz w:val="24"/>
          <w:szCs w:val="24"/>
        </w:rPr>
        <w:instrText xml:space="preserve"> SEQ Figure \* ARABIC </w:instrText>
      </w:r>
      <w:r w:rsidRPr="00D60510">
        <w:rPr>
          <w:rFonts w:ascii="Bookman Old Style" w:hAnsi="Bookman Old Style"/>
          <w:sz w:val="24"/>
          <w:szCs w:val="24"/>
        </w:rPr>
        <w:fldChar w:fldCharType="separate"/>
      </w:r>
      <w:r w:rsidR="00924FE2">
        <w:rPr>
          <w:rFonts w:ascii="Bookman Old Style" w:hAnsi="Bookman Old Style"/>
          <w:noProof/>
          <w:sz w:val="24"/>
          <w:szCs w:val="24"/>
        </w:rPr>
        <w:t>6</w:t>
      </w:r>
      <w:r w:rsidRPr="00D60510">
        <w:rPr>
          <w:rFonts w:ascii="Bookman Old Style" w:hAnsi="Bookman Old Style"/>
          <w:sz w:val="24"/>
          <w:szCs w:val="24"/>
        </w:rPr>
        <w:fldChar w:fldCharType="end"/>
      </w:r>
      <w:r w:rsidRPr="00D60510">
        <w:rPr>
          <w:rFonts w:ascii="Bookman Old Style" w:hAnsi="Bookman Old Style"/>
          <w:sz w:val="24"/>
          <w:szCs w:val="24"/>
        </w:rPr>
        <w:t>: Domestic Debt Stock, by I</w:t>
      </w:r>
      <w:r>
        <w:rPr>
          <w:rFonts w:ascii="Bookman Old Style" w:hAnsi="Bookman Old Style"/>
          <w:sz w:val="24"/>
          <w:szCs w:val="24"/>
        </w:rPr>
        <w:t>nstrument Type as at end-</w:t>
      </w:r>
      <w:r w:rsidRPr="00D60510">
        <w:rPr>
          <w:rFonts w:ascii="Bookman Old Style" w:hAnsi="Bookman Old Style"/>
          <w:sz w:val="24"/>
          <w:szCs w:val="24"/>
        </w:rPr>
        <w:t xml:space="preserve">June 2020 </w:t>
      </w:r>
    </w:p>
    <w:p w14:paraId="601EDE5E" w14:textId="085569A9" w:rsidR="00D51C22" w:rsidRPr="00D51C22" w:rsidRDefault="00D60510" w:rsidP="00D51C22">
      <w:pPr>
        <w:pStyle w:val="Caption"/>
        <w:keepNext/>
        <w:jc w:val="both"/>
        <w:rPr>
          <w:rFonts w:ascii="Bookman Old Style" w:hAnsi="Bookman Old Style"/>
          <w:sz w:val="24"/>
          <w:szCs w:val="24"/>
        </w:rPr>
      </w:pPr>
      <w:r w:rsidRPr="00D60510">
        <w:rPr>
          <w:rFonts w:ascii="Bookman Old Style" w:hAnsi="Bookman Old Style"/>
          <w:sz w:val="24"/>
          <w:szCs w:val="24"/>
        </w:rPr>
        <w:t>and 202</w:t>
      </w:r>
      <w:bookmarkEnd w:id="56"/>
      <w:bookmarkEnd w:id="57"/>
      <w:r w:rsidR="000F7C51">
        <w:rPr>
          <w:rFonts w:ascii="Bookman Old Style" w:hAnsi="Bookman Old Style"/>
          <w:sz w:val="24"/>
          <w:szCs w:val="24"/>
        </w:rPr>
        <w:t>1</w:t>
      </w:r>
    </w:p>
    <w:p w14:paraId="28BFFF97" w14:textId="778F559E" w:rsidR="00466420" w:rsidRDefault="00466420" w:rsidP="00466420">
      <w:r w:rsidRPr="00D51C22">
        <w:rPr>
          <w:noProof/>
          <w:u w:val="single"/>
          <w:lang w:eastAsia="en-GB"/>
        </w:rPr>
        <w:drawing>
          <wp:inline distT="0" distB="0" distL="0" distR="0" wp14:anchorId="50D48B4E" wp14:editId="7C000DC2">
            <wp:extent cx="5753100" cy="2834640"/>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8A1374" w14:textId="77777777" w:rsidR="00D51C22" w:rsidRDefault="00D51C22" w:rsidP="00D51C22">
      <w:pPr>
        <w:spacing w:after="0"/>
        <w:rPr>
          <w:rFonts w:ascii="Bookman Old Style" w:hAnsi="Bookman Old Style"/>
          <w:lang w:val="en-US"/>
        </w:rPr>
      </w:pPr>
    </w:p>
    <w:p w14:paraId="1B2BC6EC" w14:textId="01924EA8" w:rsidR="00D51C22" w:rsidRPr="006326CA" w:rsidRDefault="00466420" w:rsidP="006326CA">
      <w:pPr>
        <w:spacing w:after="0"/>
      </w:pPr>
      <w:r>
        <w:rPr>
          <w:rFonts w:ascii="Bookman Old Style" w:hAnsi="Bookman Old Style"/>
          <w:lang w:val="en-US"/>
        </w:rPr>
        <w:t>Source: MoF staff calculations.</w:t>
      </w:r>
    </w:p>
    <w:p w14:paraId="2A40A03E" w14:textId="77777777" w:rsidR="00D60510" w:rsidRDefault="00D60510" w:rsidP="0009208A">
      <w:pPr>
        <w:spacing w:line="360" w:lineRule="auto"/>
        <w:rPr>
          <w:rFonts w:ascii="Bookman Old Style" w:hAnsi="Bookman Old Style"/>
          <w:lang w:val="en-US"/>
        </w:rPr>
      </w:pPr>
    </w:p>
    <w:p w14:paraId="4EFF0CC8" w14:textId="3DAECAC7" w:rsidR="00847A68" w:rsidRDefault="00847A68" w:rsidP="00847A68">
      <w:pPr>
        <w:pStyle w:val="Heading2"/>
      </w:pPr>
      <w:bookmarkStart w:id="58" w:name="_Toc88660853"/>
      <w:r>
        <w:t xml:space="preserve">4.2 </w:t>
      </w:r>
      <w:r w:rsidRPr="00B70677">
        <w:t>Domestic</w:t>
      </w:r>
      <w:r w:rsidRPr="00B91EAE">
        <w:t xml:space="preserve"> Debt by </w:t>
      </w:r>
      <w:r>
        <w:t>Holder</w:t>
      </w:r>
      <w:bookmarkEnd w:id="58"/>
    </w:p>
    <w:p w14:paraId="75A60C1B" w14:textId="77777777" w:rsidR="0094188D" w:rsidRPr="0094188D" w:rsidRDefault="0094188D" w:rsidP="0094188D"/>
    <w:p w14:paraId="4B7F9D67" w14:textId="32211F8A" w:rsidR="007367DA" w:rsidRDefault="00847A68" w:rsidP="0021011A">
      <w:pPr>
        <w:spacing w:line="360" w:lineRule="auto"/>
        <w:rPr>
          <w:rFonts w:ascii="Bookman Old Style" w:hAnsi="Bookman Old Style"/>
        </w:rPr>
      </w:pPr>
      <w:r w:rsidRPr="0094188D">
        <w:rPr>
          <w:rFonts w:ascii="Bookman Old Style" w:hAnsi="Bookman Old Style"/>
        </w:rPr>
        <w:t>In terms of domestic debt holders, commercial banks remained the biggest holders and increased their holdings of domestic debt securities from MK79</w:t>
      </w:r>
      <w:r w:rsidR="005220BE">
        <w:rPr>
          <w:rFonts w:ascii="Bookman Old Style" w:hAnsi="Bookman Old Style"/>
        </w:rPr>
        <w:t>8.98 billion in June 2020 to MK1</w:t>
      </w:r>
      <w:r w:rsidR="00AE539B">
        <w:rPr>
          <w:rFonts w:ascii="Bookman Old Style" w:hAnsi="Bookman Old Style"/>
        </w:rPr>
        <w:t>, 357.74</w:t>
      </w:r>
      <w:r w:rsidR="005220BE">
        <w:rPr>
          <w:rFonts w:ascii="Bookman Old Style" w:hAnsi="Bookman Old Style"/>
        </w:rPr>
        <w:t xml:space="preserve"> billion in June</w:t>
      </w:r>
      <w:r w:rsidRPr="0094188D">
        <w:rPr>
          <w:rFonts w:ascii="Bookman Old Style" w:hAnsi="Bookman Old Style"/>
        </w:rPr>
        <w:t xml:space="preserve"> 202</w:t>
      </w:r>
      <w:r w:rsidR="005220BE">
        <w:rPr>
          <w:rFonts w:ascii="Bookman Old Style" w:hAnsi="Bookman Old Style"/>
        </w:rPr>
        <w:t>1.</w:t>
      </w:r>
      <w:r w:rsidR="00D50867">
        <w:rPr>
          <w:rFonts w:ascii="Bookman Old Style" w:hAnsi="Bookman Old Style"/>
        </w:rPr>
        <w:t xml:space="preserve">  They </w:t>
      </w:r>
      <w:r w:rsidR="00D50867">
        <w:rPr>
          <w:rFonts w:ascii="Bookman Old Style" w:hAnsi="Bookman Old Style"/>
        </w:rPr>
        <w:lastRenderedPageBreak/>
        <w:t>were followed by RBM</w:t>
      </w:r>
      <w:r w:rsidRPr="0094188D">
        <w:rPr>
          <w:rFonts w:ascii="Bookman Old Style" w:hAnsi="Bookman Old Style"/>
        </w:rPr>
        <w:t xml:space="preserve">, which marginally increased its holdings from MK621.30 billion to MK628.64 billion during the same period. The Insurance sector also increased its </w:t>
      </w:r>
      <w:r w:rsidR="0079331F" w:rsidRPr="0094188D">
        <w:rPr>
          <w:rFonts w:ascii="Bookman Old Style" w:hAnsi="Bookman Old Style"/>
        </w:rPr>
        <w:t>holdings</w:t>
      </w:r>
      <w:r w:rsidR="0079331F">
        <w:rPr>
          <w:rFonts w:ascii="Bookman Old Style" w:hAnsi="Bookman Old Style"/>
        </w:rPr>
        <w:t xml:space="preserve"> from</w:t>
      </w:r>
      <w:r w:rsidR="00253E52">
        <w:rPr>
          <w:rFonts w:ascii="Bookman Old Style" w:hAnsi="Bookman Old Style"/>
        </w:rPr>
        <w:t xml:space="preserve"> </w:t>
      </w:r>
      <w:r w:rsidR="005220BE">
        <w:rPr>
          <w:rFonts w:ascii="Bookman Old Style" w:hAnsi="Bookman Old Style"/>
        </w:rPr>
        <w:t xml:space="preserve">MK210.38 </w:t>
      </w:r>
      <w:r w:rsidR="0079331F">
        <w:rPr>
          <w:rFonts w:ascii="Bookman Old Style" w:hAnsi="Bookman Old Style"/>
        </w:rPr>
        <w:t>billion to</w:t>
      </w:r>
      <w:r w:rsidR="00253E52">
        <w:rPr>
          <w:rFonts w:ascii="Bookman Old Style" w:hAnsi="Bookman Old Style"/>
        </w:rPr>
        <w:t xml:space="preserve"> </w:t>
      </w:r>
      <w:r w:rsidR="005220BE">
        <w:rPr>
          <w:rFonts w:ascii="Bookman Old Style" w:hAnsi="Bookman Old Style"/>
        </w:rPr>
        <w:t>MK250.57</w:t>
      </w:r>
      <w:r w:rsidR="002679D5">
        <w:rPr>
          <w:rFonts w:ascii="Bookman Old Style" w:hAnsi="Bookman Old Style"/>
        </w:rPr>
        <w:t>. Holdings by the Households increased from MK0.94 billion to MK4.63 billion.</w:t>
      </w:r>
    </w:p>
    <w:p w14:paraId="335842DA" w14:textId="22804BB3" w:rsidR="0094188D" w:rsidRPr="007314EA" w:rsidRDefault="0094188D" w:rsidP="0021011A">
      <w:pPr>
        <w:spacing w:line="360" w:lineRule="auto"/>
        <w:rPr>
          <w:rFonts w:ascii="Bookman Old Style" w:hAnsi="Bookman Old Style"/>
        </w:rPr>
      </w:pPr>
    </w:p>
    <w:p w14:paraId="3D4D831B" w14:textId="78D7B859" w:rsidR="00D60510" w:rsidRDefault="00D60510" w:rsidP="00D60510">
      <w:pPr>
        <w:pStyle w:val="Caption"/>
        <w:keepNext/>
        <w:jc w:val="both"/>
        <w:rPr>
          <w:rFonts w:ascii="Bookman Old Style" w:hAnsi="Bookman Old Style"/>
          <w:sz w:val="24"/>
          <w:szCs w:val="24"/>
        </w:rPr>
      </w:pPr>
      <w:bookmarkStart w:id="59" w:name="_Toc87373891"/>
      <w:bookmarkStart w:id="60" w:name="_Toc88660953"/>
      <w:r w:rsidRPr="00D60510">
        <w:rPr>
          <w:rFonts w:ascii="Bookman Old Style" w:hAnsi="Bookman Old Style"/>
          <w:sz w:val="24"/>
          <w:szCs w:val="24"/>
        </w:rPr>
        <w:t xml:space="preserve">Figure </w:t>
      </w:r>
      <w:r w:rsidRPr="00D60510">
        <w:rPr>
          <w:rFonts w:ascii="Bookman Old Style" w:hAnsi="Bookman Old Style"/>
          <w:sz w:val="24"/>
          <w:szCs w:val="24"/>
        </w:rPr>
        <w:fldChar w:fldCharType="begin"/>
      </w:r>
      <w:r w:rsidRPr="00D60510">
        <w:rPr>
          <w:rFonts w:ascii="Bookman Old Style" w:hAnsi="Bookman Old Style"/>
          <w:sz w:val="24"/>
          <w:szCs w:val="24"/>
        </w:rPr>
        <w:instrText xml:space="preserve"> SEQ Figure \* ARABIC </w:instrText>
      </w:r>
      <w:r w:rsidRPr="00D60510">
        <w:rPr>
          <w:rFonts w:ascii="Bookman Old Style" w:hAnsi="Bookman Old Style"/>
          <w:sz w:val="24"/>
          <w:szCs w:val="24"/>
        </w:rPr>
        <w:fldChar w:fldCharType="separate"/>
      </w:r>
      <w:r w:rsidR="00924FE2">
        <w:rPr>
          <w:rFonts w:ascii="Bookman Old Style" w:hAnsi="Bookman Old Style"/>
          <w:noProof/>
          <w:sz w:val="24"/>
          <w:szCs w:val="24"/>
        </w:rPr>
        <w:t>7</w:t>
      </w:r>
      <w:r w:rsidRPr="00D60510">
        <w:rPr>
          <w:rFonts w:ascii="Bookman Old Style" w:hAnsi="Bookman Old Style"/>
          <w:sz w:val="24"/>
          <w:szCs w:val="24"/>
        </w:rPr>
        <w:fldChar w:fldCharType="end"/>
      </w:r>
      <w:r w:rsidRPr="00D60510">
        <w:rPr>
          <w:rFonts w:ascii="Bookman Old Style" w:hAnsi="Bookman Old Style"/>
          <w:sz w:val="24"/>
          <w:szCs w:val="24"/>
        </w:rPr>
        <w:t>: Domestic Debt Stock, by Holder as at end-June 2020 and 2021</w:t>
      </w:r>
      <w:bookmarkEnd w:id="59"/>
      <w:bookmarkEnd w:id="60"/>
    </w:p>
    <w:p w14:paraId="1C042BAF" w14:textId="3B82FA37" w:rsidR="00FA3CA0" w:rsidRDefault="00FA3CA0" w:rsidP="00FA3CA0">
      <w:r w:rsidRPr="00AA797D">
        <w:rPr>
          <w:noProof/>
          <w:u w:val="single"/>
          <w:lang w:eastAsia="en-GB"/>
        </w:rPr>
        <w:drawing>
          <wp:inline distT="0" distB="0" distL="0" distR="0" wp14:anchorId="2AC5D717" wp14:editId="164C3110">
            <wp:extent cx="5669280" cy="2773680"/>
            <wp:effectExtent l="0" t="0" r="762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5E2462" w14:textId="0A1219FD" w:rsidR="00B81271" w:rsidRDefault="00AA797D" w:rsidP="00343666">
      <w:pPr>
        <w:spacing w:before="240" w:line="360" w:lineRule="auto"/>
        <w:rPr>
          <w:rFonts w:ascii="Bookman Old Style" w:hAnsi="Bookman Old Style"/>
          <w:lang w:val="en-US"/>
        </w:rPr>
      </w:pPr>
      <w:r>
        <w:rPr>
          <w:rFonts w:ascii="Bookman Old Style" w:hAnsi="Bookman Old Style"/>
          <w:lang w:val="en-US"/>
        </w:rPr>
        <w:t>Source: MoF staff calculations based on RBM data.</w:t>
      </w:r>
    </w:p>
    <w:p w14:paraId="737BAB1D" w14:textId="77777777" w:rsidR="00AA797D" w:rsidRPr="002679D5" w:rsidRDefault="00AA797D" w:rsidP="0021011A">
      <w:pPr>
        <w:spacing w:line="360" w:lineRule="auto"/>
        <w:rPr>
          <w:rFonts w:ascii="Bookman Old Style" w:hAnsi="Bookman Old Style"/>
          <w:lang w:val="en-US"/>
        </w:rPr>
      </w:pPr>
    </w:p>
    <w:p w14:paraId="13ED400A" w14:textId="77777777" w:rsidR="0021011A" w:rsidRDefault="0021011A" w:rsidP="0021011A">
      <w:pPr>
        <w:pStyle w:val="Heading2"/>
      </w:pPr>
      <w:bookmarkStart w:id="61" w:name="_Toc88660854"/>
      <w:r>
        <w:t>4.3</w:t>
      </w:r>
      <w:r w:rsidRPr="004B066C">
        <w:t xml:space="preserve"> </w:t>
      </w:r>
      <w:r w:rsidRPr="00B70677">
        <w:t>Domestic</w:t>
      </w:r>
      <w:r w:rsidRPr="004B066C">
        <w:t xml:space="preserve"> Contingent Liabilities</w:t>
      </w:r>
      <w:bookmarkEnd w:id="61"/>
      <w:r w:rsidRPr="004B066C">
        <w:t xml:space="preserve"> </w:t>
      </w:r>
    </w:p>
    <w:p w14:paraId="08379B6F" w14:textId="77777777" w:rsidR="0051020E" w:rsidRDefault="0051020E" w:rsidP="0027378F"/>
    <w:p w14:paraId="2E749695" w14:textId="49A1D968" w:rsidR="00B12D43" w:rsidRPr="002679D5" w:rsidRDefault="00D50867" w:rsidP="002679D5">
      <w:pPr>
        <w:spacing w:line="360" w:lineRule="auto"/>
        <w:rPr>
          <w:rFonts w:ascii="Bookman Old Style" w:hAnsi="Bookman Old Style"/>
        </w:rPr>
      </w:pPr>
      <w:r>
        <w:rPr>
          <w:rFonts w:ascii="Bookman Old Style" w:hAnsi="Bookman Old Style"/>
        </w:rPr>
        <w:t>As at end-</w:t>
      </w:r>
      <w:r w:rsidR="0051020E" w:rsidRPr="0027378F">
        <w:rPr>
          <w:rFonts w:ascii="Bookman Old Style" w:hAnsi="Bookman Old Style"/>
        </w:rPr>
        <w:t>June 2021, a total of MK119.4 billion was outstanding under the guaranteed loans. This</w:t>
      </w:r>
      <w:r w:rsidR="009C2C64" w:rsidRPr="0027378F">
        <w:rPr>
          <w:rFonts w:ascii="Bookman Old Style" w:hAnsi="Bookman Old Style"/>
        </w:rPr>
        <w:t xml:space="preserve"> fiscal exposure</w:t>
      </w:r>
      <w:r w:rsidR="0051020E" w:rsidRPr="0027378F">
        <w:rPr>
          <w:rFonts w:ascii="Bookman Old Style" w:hAnsi="Bookman Old Style"/>
        </w:rPr>
        <w:t xml:space="preserve"> represents 1.3 percent of the</w:t>
      </w:r>
      <w:r w:rsidR="002679D5">
        <w:rPr>
          <w:rFonts w:ascii="Bookman Old Style" w:hAnsi="Bookman Old Style"/>
        </w:rPr>
        <w:t xml:space="preserve"> FY2020/21</w:t>
      </w:r>
      <w:r w:rsidR="0051020E" w:rsidRPr="0027378F">
        <w:rPr>
          <w:rFonts w:ascii="Bookman Old Style" w:hAnsi="Bookman Old Style"/>
        </w:rPr>
        <w:t xml:space="preserve"> GDP. The guarantees were issued in favour of NBS</w:t>
      </w:r>
      <w:r w:rsidR="00424209">
        <w:rPr>
          <w:rFonts w:ascii="Bookman Old Style" w:hAnsi="Bookman Old Style"/>
        </w:rPr>
        <w:t xml:space="preserve"> Bank</w:t>
      </w:r>
      <w:r w:rsidR="0051020E" w:rsidRPr="0027378F">
        <w:rPr>
          <w:rFonts w:ascii="Bookman Old Style" w:hAnsi="Bookman Old Style"/>
        </w:rPr>
        <w:t xml:space="preserve">, CDH Investment Bank, Export </w:t>
      </w:r>
      <w:r w:rsidR="002C533A" w:rsidRPr="0027378F">
        <w:rPr>
          <w:rFonts w:ascii="Bookman Old Style" w:hAnsi="Bookman Old Style"/>
        </w:rPr>
        <w:t>De</w:t>
      </w:r>
      <w:r w:rsidR="0051020E" w:rsidRPr="0027378F">
        <w:rPr>
          <w:rFonts w:ascii="Bookman Old Style" w:hAnsi="Bookman Old Style"/>
        </w:rPr>
        <w:t>velopment Fund and FDH</w:t>
      </w:r>
      <w:r w:rsidR="00294F94">
        <w:rPr>
          <w:rFonts w:ascii="Bookman Old Style" w:hAnsi="Bookman Old Style"/>
        </w:rPr>
        <w:t xml:space="preserve"> Bank</w:t>
      </w:r>
      <w:r w:rsidR="00477A4C">
        <w:rPr>
          <w:rFonts w:ascii="Bookman Old Style" w:hAnsi="Bookman Old Style"/>
        </w:rPr>
        <w:t xml:space="preserve"> (Refer to Annex 2</w:t>
      </w:r>
      <w:r w:rsidR="00477A4C" w:rsidRPr="007314EA">
        <w:rPr>
          <w:rFonts w:ascii="Bookman Old Style" w:hAnsi="Bookman Old Style"/>
        </w:rPr>
        <w:t>)</w:t>
      </w:r>
      <w:r w:rsidR="0051020E" w:rsidRPr="0027378F">
        <w:rPr>
          <w:rFonts w:ascii="Bookman Old Style" w:hAnsi="Bookman Old Style"/>
        </w:rPr>
        <w:t xml:space="preserve">. The beneficiary institutions include </w:t>
      </w:r>
      <w:r w:rsidR="004B7EC8" w:rsidRPr="004B7EC8">
        <w:rPr>
          <w:rFonts w:ascii="Bookman Old Style" w:hAnsi="Bookman Old Style"/>
        </w:rPr>
        <w:t>Agricultural Development and Marketing Corporation</w:t>
      </w:r>
      <w:r w:rsidR="004B7EC8" w:rsidRPr="0027378F">
        <w:rPr>
          <w:rFonts w:ascii="Bookman Old Style" w:hAnsi="Bookman Old Style"/>
        </w:rPr>
        <w:t xml:space="preserve"> </w:t>
      </w:r>
      <w:r w:rsidR="004B7EC8">
        <w:rPr>
          <w:rFonts w:ascii="Bookman Old Style" w:hAnsi="Bookman Old Style"/>
        </w:rPr>
        <w:t>(</w:t>
      </w:r>
      <w:r w:rsidR="0051020E" w:rsidRPr="0027378F">
        <w:rPr>
          <w:rFonts w:ascii="Bookman Old Style" w:hAnsi="Bookman Old Style"/>
        </w:rPr>
        <w:t>ADMARC</w:t>
      </w:r>
      <w:r w:rsidR="004B7EC8">
        <w:rPr>
          <w:rFonts w:ascii="Bookman Old Style" w:hAnsi="Bookman Old Style"/>
        </w:rPr>
        <w:t>)</w:t>
      </w:r>
      <w:r w:rsidR="0051020E" w:rsidRPr="0027378F">
        <w:rPr>
          <w:rFonts w:ascii="Bookman Old Style" w:hAnsi="Bookman Old Style"/>
        </w:rPr>
        <w:t>,</w:t>
      </w:r>
      <w:r w:rsidR="002679D5">
        <w:rPr>
          <w:rFonts w:ascii="Bookman Old Style" w:hAnsi="Bookman Old Style"/>
        </w:rPr>
        <w:t xml:space="preserve"> </w:t>
      </w:r>
      <w:r w:rsidR="004B7EC8">
        <w:rPr>
          <w:rFonts w:ascii="Bookman Old Style" w:hAnsi="Bookman Old Style"/>
        </w:rPr>
        <w:t>E</w:t>
      </w:r>
      <w:r w:rsidR="004B7EC8" w:rsidRPr="004B7EC8">
        <w:rPr>
          <w:rFonts w:ascii="Bookman Old Style" w:hAnsi="Bookman Old Style"/>
        </w:rPr>
        <w:t xml:space="preserve">lectricity Supply Commission of </w:t>
      </w:r>
      <w:proofErr w:type="gramStart"/>
      <w:r w:rsidR="004B7EC8" w:rsidRPr="004B7EC8">
        <w:rPr>
          <w:rFonts w:ascii="Bookman Old Style" w:hAnsi="Bookman Old Style"/>
        </w:rPr>
        <w:t>Malawi</w:t>
      </w:r>
      <w:r w:rsidR="009F7220">
        <w:rPr>
          <w:rFonts w:ascii="Bookman Old Style" w:hAnsi="Bookman Old Style"/>
        </w:rPr>
        <w:t>(</w:t>
      </w:r>
      <w:proofErr w:type="gramEnd"/>
      <w:r w:rsidR="0051020E" w:rsidRPr="0027378F">
        <w:rPr>
          <w:rFonts w:ascii="Bookman Old Style" w:hAnsi="Bookman Old Style"/>
        </w:rPr>
        <w:t>ES</w:t>
      </w:r>
      <w:r w:rsidR="002679D5">
        <w:rPr>
          <w:rFonts w:ascii="Bookman Old Style" w:hAnsi="Bookman Old Style"/>
        </w:rPr>
        <w:t>COM</w:t>
      </w:r>
      <w:r w:rsidR="004B7EC8">
        <w:rPr>
          <w:rFonts w:ascii="Bookman Old Style" w:hAnsi="Bookman Old Style"/>
        </w:rPr>
        <w:t>)</w:t>
      </w:r>
      <w:r w:rsidR="002679D5">
        <w:rPr>
          <w:rFonts w:ascii="Bookman Old Style" w:hAnsi="Bookman Old Style"/>
        </w:rPr>
        <w:t>, Umodzi Holdings Limited, Sa</w:t>
      </w:r>
      <w:r w:rsidR="0051020E" w:rsidRPr="0027378F">
        <w:rPr>
          <w:rFonts w:ascii="Bookman Old Style" w:hAnsi="Bookman Old Style"/>
        </w:rPr>
        <w:t>lima Sugar Company,</w:t>
      </w:r>
      <w:r w:rsidR="002679D5">
        <w:rPr>
          <w:rFonts w:ascii="Bookman Old Style" w:hAnsi="Bookman Old Style"/>
        </w:rPr>
        <w:t xml:space="preserve"> </w:t>
      </w:r>
      <w:r w:rsidR="0051020E" w:rsidRPr="0027378F">
        <w:rPr>
          <w:rFonts w:ascii="Bookman Old Style" w:hAnsi="Bookman Old Style"/>
        </w:rPr>
        <w:t>Green Belt Authority</w:t>
      </w:r>
      <w:r w:rsidR="00C62C3F">
        <w:rPr>
          <w:rFonts w:ascii="Bookman Old Style" w:hAnsi="Bookman Old Style"/>
        </w:rPr>
        <w:t xml:space="preserve"> (GBA)</w:t>
      </w:r>
      <w:r w:rsidR="0051020E" w:rsidRPr="0027378F">
        <w:rPr>
          <w:rFonts w:ascii="Bookman Old Style" w:hAnsi="Bookman Old Style"/>
        </w:rPr>
        <w:t xml:space="preserve"> and</w:t>
      </w:r>
      <w:r w:rsidR="004B7EC8">
        <w:rPr>
          <w:rFonts w:ascii="Bookman Old Style" w:hAnsi="Bookman Old Style"/>
        </w:rPr>
        <w:t xml:space="preserve"> </w:t>
      </w:r>
      <w:r w:rsidR="004B7EC8" w:rsidRPr="004B7EC8">
        <w:rPr>
          <w:rFonts w:ascii="Bookman Old Style" w:hAnsi="Bookman Old Style"/>
        </w:rPr>
        <w:t>National Economic Empowerment Fund Limited</w:t>
      </w:r>
      <w:r w:rsidR="0051020E" w:rsidRPr="0027378F">
        <w:rPr>
          <w:rFonts w:ascii="Bookman Old Style" w:hAnsi="Bookman Old Style"/>
        </w:rPr>
        <w:t xml:space="preserve"> </w:t>
      </w:r>
      <w:r w:rsidR="004B7EC8">
        <w:rPr>
          <w:rFonts w:ascii="Bookman Old Style" w:hAnsi="Bookman Old Style"/>
        </w:rPr>
        <w:t>(</w:t>
      </w:r>
      <w:r w:rsidR="0051020E" w:rsidRPr="0027378F">
        <w:rPr>
          <w:rFonts w:ascii="Bookman Old Style" w:hAnsi="Bookman Old Style"/>
        </w:rPr>
        <w:t>NEEF</w:t>
      </w:r>
      <w:r w:rsidR="004B7EC8">
        <w:rPr>
          <w:rFonts w:ascii="Bookman Old Style" w:hAnsi="Bookman Old Style"/>
        </w:rPr>
        <w:t>)</w:t>
      </w:r>
      <w:r w:rsidR="0051020E" w:rsidRPr="0027378F">
        <w:rPr>
          <w:rFonts w:ascii="Bookman Old Style" w:hAnsi="Bookman Old Style"/>
        </w:rPr>
        <w:t>.</w:t>
      </w:r>
      <w:r w:rsidR="002679D5">
        <w:rPr>
          <w:rFonts w:ascii="Bookman Old Style" w:hAnsi="Bookman Old Style"/>
        </w:rPr>
        <w:t xml:space="preserve"> </w:t>
      </w:r>
      <w:r w:rsidR="006439D8" w:rsidRPr="002679D5">
        <w:rPr>
          <w:rFonts w:ascii="Bookman Old Style" w:hAnsi="Bookman Old Style"/>
        </w:rPr>
        <w:t>Of the MK119.4 billion, MK22.2</w:t>
      </w:r>
      <w:r w:rsidR="002679D5">
        <w:rPr>
          <w:rFonts w:ascii="Bookman Old Style" w:hAnsi="Bookman Old Style"/>
        </w:rPr>
        <w:t xml:space="preserve"> billion was approved during FY</w:t>
      </w:r>
      <w:r w:rsidR="006439D8" w:rsidRPr="002679D5">
        <w:rPr>
          <w:rFonts w:ascii="Bookman Old Style" w:hAnsi="Bookman Old Style"/>
        </w:rPr>
        <w:t>2020/21. The guarantee w</w:t>
      </w:r>
      <w:r w:rsidR="001832F3" w:rsidRPr="002679D5">
        <w:rPr>
          <w:rFonts w:ascii="Bookman Old Style" w:hAnsi="Bookman Old Style"/>
        </w:rPr>
        <w:t>as to CDH</w:t>
      </w:r>
      <w:r w:rsidR="00424209">
        <w:rPr>
          <w:rFonts w:ascii="Bookman Old Style" w:hAnsi="Bookman Old Style"/>
        </w:rPr>
        <w:t xml:space="preserve"> </w:t>
      </w:r>
      <w:r w:rsidR="00F45CDF">
        <w:rPr>
          <w:rFonts w:ascii="Bookman Old Style" w:hAnsi="Bookman Old Style"/>
        </w:rPr>
        <w:t xml:space="preserve">Investment </w:t>
      </w:r>
      <w:r w:rsidR="00936BFD">
        <w:rPr>
          <w:rFonts w:ascii="Bookman Old Style" w:hAnsi="Bookman Old Style"/>
        </w:rPr>
        <w:t>Bank</w:t>
      </w:r>
      <w:r w:rsidR="00936BFD" w:rsidRPr="002679D5">
        <w:rPr>
          <w:rFonts w:ascii="Bookman Old Style" w:hAnsi="Bookman Old Style"/>
        </w:rPr>
        <w:t xml:space="preserve"> </w:t>
      </w:r>
      <w:r w:rsidR="00936BFD">
        <w:rPr>
          <w:rFonts w:ascii="Bookman Old Style" w:hAnsi="Bookman Old Style"/>
        </w:rPr>
        <w:t xml:space="preserve">in </w:t>
      </w:r>
      <w:r w:rsidR="001832F3" w:rsidRPr="002679D5">
        <w:rPr>
          <w:rFonts w:ascii="Bookman Old Style" w:hAnsi="Bookman Old Style"/>
        </w:rPr>
        <w:t xml:space="preserve">favour of ADMARC for the purposes of crop purchasing. </w:t>
      </w:r>
      <w:r w:rsidR="002C533A" w:rsidRPr="002679D5">
        <w:rPr>
          <w:rFonts w:ascii="Bookman Old Style" w:hAnsi="Bookman Old Style"/>
        </w:rPr>
        <w:t>During the period under rev</w:t>
      </w:r>
      <w:r w:rsidR="00936BFD">
        <w:rPr>
          <w:rFonts w:ascii="Bookman Old Style" w:hAnsi="Bookman Old Style"/>
        </w:rPr>
        <w:t>iew, two guarantees totalling</w:t>
      </w:r>
      <w:r w:rsidR="002C533A" w:rsidRPr="002679D5">
        <w:rPr>
          <w:rFonts w:ascii="Bookman Old Style" w:hAnsi="Bookman Old Style"/>
        </w:rPr>
        <w:t xml:space="preserve"> MK32 billion were expected </w:t>
      </w:r>
      <w:r w:rsidR="002679D5">
        <w:rPr>
          <w:rFonts w:ascii="Bookman Old Style" w:hAnsi="Bookman Old Style"/>
        </w:rPr>
        <w:t xml:space="preserve">to </w:t>
      </w:r>
      <w:r w:rsidR="002C533A" w:rsidRPr="002679D5">
        <w:rPr>
          <w:rFonts w:ascii="Bookman Old Style" w:hAnsi="Bookman Old Style"/>
        </w:rPr>
        <w:t>mature</w:t>
      </w:r>
      <w:r w:rsidR="002679D5">
        <w:rPr>
          <w:rFonts w:ascii="Bookman Old Style" w:hAnsi="Bookman Old Style"/>
        </w:rPr>
        <w:t>.  H</w:t>
      </w:r>
      <w:r w:rsidR="002C533A" w:rsidRPr="002679D5">
        <w:rPr>
          <w:rFonts w:ascii="Bookman Old Style" w:hAnsi="Bookman Old Style"/>
        </w:rPr>
        <w:t>owever</w:t>
      </w:r>
      <w:r w:rsidR="002679D5">
        <w:rPr>
          <w:rFonts w:ascii="Bookman Old Style" w:hAnsi="Bookman Old Style"/>
        </w:rPr>
        <w:t>,</w:t>
      </w:r>
      <w:r w:rsidR="002C533A" w:rsidRPr="002679D5">
        <w:rPr>
          <w:rFonts w:ascii="Bookman Old Style" w:hAnsi="Bookman Old Style"/>
        </w:rPr>
        <w:t xml:space="preserve"> the</w:t>
      </w:r>
      <w:r w:rsidR="002679D5">
        <w:rPr>
          <w:rFonts w:ascii="Bookman Old Style" w:hAnsi="Bookman Old Style"/>
        </w:rPr>
        <w:t xml:space="preserve">y have since </w:t>
      </w:r>
      <w:r w:rsidR="00294F94">
        <w:rPr>
          <w:rFonts w:ascii="Bookman Old Style" w:hAnsi="Bookman Old Style"/>
        </w:rPr>
        <w:t xml:space="preserve">been </w:t>
      </w:r>
      <w:r w:rsidR="00294F94" w:rsidRPr="002679D5">
        <w:rPr>
          <w:rFonts w:ascii="Bookman Old Style" w:hAnsi="Bookman Old Style"/>
        </w:rPr>
        <w:t>rolled</w:t>
      </w:r>
      <w:r w:rsidR="00563421">
        <w:rPr>
          <w:rFonts w:ascii="Bookman Old Style" w:hAnsi="Bookman Old Style"/>
        </w:rPr>
        <w:t>-</w:t>
      </w:r>
      <w:r w:rsidR="00680D15" w:rsidRPr="002679D5">
        <w:rPr>
          <w:rFonts w:ascii="Bookman Old Style" w:hAnsi="Bookman Old Style"/>
        </w:rPr>
        <w:t xml:space="preserve">over and the maturity dates have been </w:t>
      </w:r>
      <w:r w:rsidR="00680D15" w:rsidRPr="002679D5">
        <w:rPr>
          <w:rFonts w:ascii="Bookman Old Style" w:hAnsi="Bookman Old Style"/>
        </w:rPr>
        <w:lastRenderedPageBreak/>
        <w:t>extended</w:t>
      </w:r>
      <w:r w:rsidR="009C2C64" w:rsidRPr="002679D5">
        <w:rPr>
          <w:rFonts w:ascii="Bookman Old Style" w:hAnsi="Bookman Old Style"/>
        </w:rPr>
        <w:t xml:space="preserve"> to FY2022/23</w:t>
      </w:r>
      <w:r w:rsidR="00680D15" w:rsidRPr="002679D5">
        <w:rPr>
          <w:rFonts w:ascii="Bookman Old Style" w:hAnsi="Bookman Old Style"/>
        </w:rPr>
        <w:t>.</w:t>
      </w:r>
      <w:r w:rsidR="00034757">
        <w:rPr>
          <w:rFonts w:ascii="Bookman Old Style" w:hAnsi="Bookman Old Style"/>
        </w:rPr>
        <w:t xml:space="preserve"> Government also verified and securitised K119.76 billion arrears during the same period.</w:t>
      </w:r>
    </w:p>
    <w:p w14:paraId="67C274EB" w14:textId="77777777" w:rsidR="00B12D43" w:rsidRDefault="00B12D43" w:rsidP="0021011A">
      <w:pPr>
        <w:pStyle w:val="Heading1"/>
      </w:pPr>
    </w:p>
    <w:p w14:paraId="6BCADB62" w14:textId="60940434" w:rsidR="00B12D43" w:rsidRDefault="00B12D43" w:rsidP="002679D5">
      <w:pPr>
        <w:pStyle w:val="Heading1"/>
        <w:tabs>
          <w:tab w:val="left" w:pos="3440"/>
        </w:tabs>
        <w:jc w:val="both"/>
      </w:pPr>
    </w:p>
    <w:p w14:paraId="278BF8A2" w14:textId="5EE7C908" w:rsidR="002679D5" w:rsidRDefault="002679D5" w:rsidP="002679D5"/>
    <w:p w14:paraId="7D182D77" w14:textId="30BDBBD5" w:rsidR="002679D5" w:rsidRDefault="002679D5" w:rsidP="002679D5"/>
    <w:p w14:paraId="79DBB9D6" w14:textId="7BC1C4CB" w:rsidR="002679D5" w:rsidRDefault="002679D5" w:rsidP="002679D5"/>
    <w:p w14:paraId="53A78B31" w14:textId="09C6C6A1" w:rsidR="002679D5" w:rsidRDefault="002679D5" w:rsidP="002679D5"/>
    <w:p w14:paraId="29BEB215" w14:textId="6A70F5C5" w:rsidR="002679D5" w:rsidRDefault="002679D5" w:rsidP="002679D5"/>
    <w:p w14:paraId="0A91656E" w14:textId="01DFA74A" w:rsidR="002679D5" w:rsidRDefault="002679D5" w:rsidP="002679D5"/>
    <w:p w14:paraId="7C216CD0" w14:textId="77777777" w:rsidR="002679D5" w:rsidRPr="002679D5" w:rsidRDefault="002679D5" w:rsidP="002679D5"/>
    <w:p w14:paraId="48B7EF9E" w14:textId="192DE998" w:rsidR="00B12D43" w:rsidRDefault="00B12D43" w:rsidP="0021011A">
      <w:pPr>
        <w:pStyle w:val="Heading1"/>
      </w:pPr>
    </w:p>
    <w:p w14:paraId="2C4A8436" w14:textId="6C0BCA48" w:rsidR="00B12D43" w:rsidRDefault="00B12D43" w:rsidP="002679D5">
      <w:pPr>
        <w:pStyle w:val="Heading1"/>
        <w:tabs>
          <w:tab w:val="left" w:pos="940"/>
          <w:tab w:val="left" w:pos="1962"/>
        </w:tabs>
        <w:jc w:val="both"/>
      </w:pPr>
    </w:p>
    <w:p w14:paraId="1B5C1489" w14:textId="72E53146" w:rsidR="00424209" w:rsidRDefault="00424209" w:rsidP="00424209"/>
    <w:p w14:paraId="5DA04C0E" w14:textId="0C01FDCF" w:rsidR="00424209" w:rsidRDefault="00424209" w:rsidP="00424209"/>
    <w:p w14:paraId="4372A5F2" w14:textId="6E4117BA" w:rsidR="00424209" w:rsidRDefault="00424209" w:rsidP="00424209"/>
    <w:p w14:paraId="52383FCB" w14:textId="3A0EC267" w:rsidR="00424209" w:rsidRDefault="00424209" w:rsidP="00424209"/>
    <w:p w14:paraId="6344AB47" w14:textId="21A32C5E" w:rsidR="00424209" w:rsidRDefault="00424209" w:rsidP="00424209"/>
    <w:p w14:paraId="0BE9CB52" w14:textId="2872A5C9" w:rsidR="00424209" w:rsidRDefault="00424209" w:rsidP="00424209"/>
    <w:p w14:paraId="514EC5BE" w14:textId="652C1D4C" w:rsidR="00424209" w:rsidRDefault="00424209" w:rsidP="00424209"/>
    <w:p w14:paraId="686CDFD9" w14:textId="4E5B9B31" w:rsidR="00424209" w:rsidRDefault="00424209" w:rsidP="00424209"/>
    <w:p w14:paraId="2B5D8FED" w14:textId="4D2C0D18" w:rsidR="00424209" w:rsidRDefault="00424209" w:rsidP="00424209"/>
    <w:p w14:paraId="2DFF3BF8" w14:textId="46851F80" w:rsidR="00424209" w:rsidRDefault="00424209" w:rsidP="00424209"/>
    <w:p w14:paraId="7C163E73" w14:textId="08D17745" w:rsidR="00424209" w:rsidRDefault="00424209" w:rsidP="00424209"/>
    <w:p w14:paraId="66D93FD8" w14:textId="0457DA8C" w:rsidR="00424209" w:rsidRDefault="00424209" w:rsidP="00424209"/>
    <w:p w14:paraId="3967E069" w14:textId="0794F9FA" w:rsidR="00424209" w:rsidRDefault="00424209" w:rsidP="00424209"/>
    <w:p w14:paraId="79469D32" w14:textId="01343DEF" w:rsidR="00424209" w:rsidRDefault="00424209" w:rsidP="00424209"/>
    <w:p w14:paraId="4C38A91B" w14:textId="10EB8C23" w:rsidR="00424209" w:rsidRDefault="00424209" w:rsidP="00424209"/>
    <w:p w14:paraId="376BC726" w14:textId="000BC9A6" w:rsidR="00424209" w:rsidRDefault="00424209" w:rsidP="00424209"/>
    <w:p w14:paraId="5F4394F5" w14:textId="5D6B2DC3" w:rsidR="00424209" w:rsidRDefault="00424209" w:rsidP="00424209"/>
    <w:p w14:paraId="73C78095" w14:textId="114E993E" w:rsidR="006326CA" w:rsidRDefault="006326CA" w:rsidP="00424209"/>
    <w:p w14:paraId="0F59ACB4" w14:textId="2AE9725B" w:rsidR="006326CA" w:rsidRDefault="006326CA" w:rsidP="00424209"/>
    <w:p w14:paraId="58D4D42A" w14:textId="4A398DC4" w:rsidR="006326CA" w:rsidRDefault="006326CA" w:rsidP="00424209"/>
    <w:p w14:paraId="1D007711" w14:textId="5ECEDCB2" w:rsidR="006326CA" w:rsidRDefault="006326CA" w:rsidP="00424209"/>
    <w:p w14:paraId="40F57414" w14:textId="2213A27C" w:rsidR="006326CA" w:rsidRDefault="006326CA" w:rsidP="00424209"/>
    <w:p w14:paraId="664D254B" w14:textId="24DA35C2" w:rsidR="006326CA" w:rsidRDefault="006326CA" w:rsidP="00424209"/>
    <w:p w14:paraId="624D1ABB" w14:textId="675A27F9" w:rsidR="006326CA" w:rsidRDefault="006326CA" w:rsidP="00424209"/>
    <w:p w14:paraId="08BC74C5" w14:textId="333866CD" w:rsidR="00807C0D" w:rsidRDefault="00807C0D" w:rsidP="00424209"/>
    <w:p w14:paraId="15CCA2DD" w14:textId="77777777" w:rsidR="00807C0D" w:rsidRDefault="00807C0D" w:rsidP="00424209"/>
    <w:p w14:paraId="343F79D6" w14:textId="019CC4A6" w:rsidR="002679D5" w:rsidRPr="002679D5" w:rsidRDefault="002679D5" w:rsidP="002679D5"/>
    <w:p w14:paraId="437D518B" w14:textId="1CA6F55C" w:rsidR="0021011A" w:rsidRDefault="0021011A" w:rsidP="0021011A">
      <w:pPr>
        <w:pStyle w:val="Heading1"/>
      </w:pPr>
      <w:bookmarkStart w:id="62" w:name="_Toc88660855"/>
      <w:r>
        <w:lastRenderedPageBreak/>
        <w:t>SECTION V</w:t>
      </w:r>
      <w:r w:rsidRPr="00C116C2">
        <w:t xml:space="preserve">:  </w:t>
      </w:r>
      <w:r w:rsidR="00B81271">
        <w:t>RISK AND</w:t>
      </w:r>
      <w:r w:rsidR="00006509">
        <w:t xml:space="preserve"> COST </w:t>
      </w:r>
      <w:r>
        <w:t>ANALYSIS</w:t>
      </w:r>
      <w:bookmarkEnd w:id="62"/>
    </w:p>
    <w:p w14:paraId="09973787" w14:textId="384E6865" w:rsidR="002679D5" w:rsidRDefault="002679D5" w:rsidP="002679D5"/>
    <w:p w14:paraId="275AA1CE" w14:textId="052E0B30" w:rsidR="00006509" w:rsidRDefault="00006509" w:rsidP="00006509">
      <w:pPr>
        <w:spacing w:line="360" w:lineRule="auto"/>
        <w:rPr>
          <w:rFonts w:ascii="Bookman Old Style" w:hAnsi="Bookman Old Style"/>
        </w:rPr>
      </w:pPr>
      <w:r w:rsidRPr="00006509">
        <w:rPr>
          <w:rFonts w:ascii="Bookman Old Style" w:hAnsi="Bookman Old Style"/>
        </w:rPr>
        <w:t xml:space="preserve">In this section, </w:t>
      </w:r>
      <w:r w:rsidR="0009276A">
        <w:rPr>
          <w:rFonts w:ascii="Bookman Old Style" w:hAnsi="Bookman Old Style"/>
        </w:rPr>
        <w:t xml:space="preserve">Debt figures </w:t>
      </w:r>
      <w:r w:rsidR="0009276A" w:rsidRPr="00006509">
        <w:rPr>
          <w:rFonts w:ascii="Bookman Old Style" w:hAnsi="Bookman Old Style"/>
        </w:rPr>
        <w:t>only</w:t>
      </w:r>
      <w:r w:rsidRPr="00006509">
        <w:rPr>
          <w:rFonts w:ascii="Bookman Old Style" w:hAnsi="Bookman Old Style"/>
        </w:rPr>
        <w:t xml:space="preserve"> </w:t>
      </w:r>
      <w:r w:rsidR="0009276A">
        <w:rPr>
          <w:rFonts w:ascii="Bookman Old Style" w:hAnsi="Bookman Old Style"/>
        </w:rPr>
        <w:t>cover</w:t>
      </w:r>
      <w:r w:rsidR="00936BFD">
        <w:rPr>
          <w:rFonts w:ascii="Bookman Old Style" w:hAnsi="Bookman Old Style"/>
        </w:rPr>
        <w:t xml:space="preserve"> budgetary </w:t>
      </w:r>
      <w:r w:rsidR="00936BFD" w:rsidRPr="00006509">
        <w:rPr>
          <w:rFonts w:ascii="Bookman Old Style" w:hAnsi="Bookman Old Style"/>
        </w:rPr>
        <w:t>central</w:t>
      </w:r>
      <w:r w:rsidRPr="00006509">
        <w:rPr>
          <w:rFonts w:ascii="Bookman Old Style" w:hAnsi="Bookman Old Style"/>
        </w:rPr>
        <w:t xml:space="preserve"> government</w:t>
      </w:r>
      <w:r w:rsidR="00936BFD">
        <w:rPr>
          <w:rFonts w:ascii="Bookman Old Style" w:hAnsi="Bookman Old Style"/>
        </w:rPr>
        <w:t>. Domestic debt is reported on Cost V</w:t>
      </w:r>
      <w:r w:rsidRPr="00006509">
        <w:rPr>
          <w:rFonts w:ascii="Bookman Old Style" w:hAnsi="Bookman Old Style"/>
        </w:rPr>
        <w:t>alue basis whilst external debt is maintained at Disbursed Outstanding Debt basis.</w:t>
      </w:r>
    </w:p>
    <w:p w14:paraId="526FE7BC" w14:textId="77777777" w:rsidR="00AE539B" w:rsidRPr="00006509" w:rsidRDefault="00AE539B" w:rsidP="00006509">
      <w:pPr>
        <w:spacing w:line="360" w:lineRule="auto"/>
        <w:rPr>
          <w:rFonts w:ascii="Bookman Old Style" w:hAnsi="Bookman Old Style"/>
        </w:rPr>
      </w:pPr>
    </w:p>
    <w:p w14:paraId="39AE0981" w14:textId="23C0E594" w:rsidR="0021011A" w:rsidRDefault="0021011A" w:rsidP="0021011A">
      <w:pPr>
        <w:spacing w:line="360" w:lineRule="auto"/>
        <w:rPr>
          <w:rFonts w:ascii="Bookman Old Style" w:hAnsi="Bookman Old Style"/>
        </w:rPr>
      </w:pPr>
      <w:r w:rsidRPr="006741E1">
        <w:rPr>
          <w:rFonts w:ascii="Bookman Old Style" w:hAnsi="Bookman Old Style"/>
        </w:rPr>
        <w:t xml:space="preserve">In terms of risk, Malawi’s public debt is exposed to significant refinancing, interest and exchange rate risks. The high refinancing (and/or roll-over) risk and interest rate risk </w:t>
      </w:r>
      <w:proofErr w:type="gramStart"/>
      <w:r w:rsidRPr="006741E1">
        <w:rPr>
          <w:rFonts w:ascii="Bookman Old Style" w:hAnsi="Bookman Old Style"/>
        </w:rPr>
        <w:t>are</w:t>
      </w:r>
      <w:proofErr w:type="gramEnd"/>
      <w:r w:rsidRPr="006741E1">
        <w:rPr>
          <w:rFonts w:ascii="Bookman Old Style" w:hAnsi="Bookman Old Style"/>
        </w:rPr>
        <w:t xml:space="preserve"> largely</w:t>
      </w:r>
      <w:r>
        <w:rPr>
          <w:rFonts w:ascii="Bookman Old Style" w:hAnsi="Bookman Old Style"/>
        </w:rPr>
        <w:t xml:space="preserve"> on account of the </w:t>
      </w:r>
      <w:r w:rsidRPr="006741E1">
        <w:rPr>
          <w:rFonts w:ascii="Bookman Old Style" w:hAnsi="Bookman Old Style"/>
        </w:rPr>
        <w:t xml:space="preserve">short-term nature of the domestic debt portfolio. </w:t>
      </w:r>
    </w:p>
    <w:p w14:paraId="3A3431F0" w14:textId="77777777" w:rsidR="00AE539B" w:rsidRDefault="00AE539B" w:rsidP="0021011A">
      <w:pPr>
        <w:spacing w:line="360" w:lineRule="auto"/>
        <w:rPr>
          <w:rFonts w:ascii="Bookman Old Style" w:hAnsi="Bookman Old Style"/>
        </w:rPr>
      </w:pPr>
    </w:p>
    <w:p w14:paraId="64AF62B1" w14:textId="03E2F0F9" w:rsidR="0021011A" w:rsidRDefault="0021011A" w:rsidP="0021011A">
      <w:pPr>
        <w:pStyle w:val="Heading2"/>
        <w:spacing w:line="360" w:lineRule="auto"/>
        <w:rPr>
          <w:i w:val="0"/>
        </w:rPr>
      </w:pPr>
      <w:bookmarkStart w:id="63" w:name="_Toc88660856"/>
      <w:r>
        <w:rPr>
          <w:i w:val="0"/>
        </w:rPr>
        <w:t xml:space="preserve">5.1 </w:t>
      </w:r>
      <w:r w:rsidRPr="00531AE3">
        <w:rPr>
          <w:i w:val="0"/>
        </w:rPr>
        <w:t>Refinancing Risk Analysis using Redemption Profile</w:t>
      </w:r>
      <w:bookmarkEnd w:id="63"/>
    </w:p>
    <w:p w14:paraId="344331B0" w14:textId="77777777" w:rsidR="005A2894" w:rsidRPr="005A2894" w:rsidRDefault="005A2894" w:rsidP="005A2894"/>
    <w:p w14:paraId="32E30EF2" w14:textId="01D06220" w:rsidR="007367DA" w:rsidRPr="002679D5" w:rsidRDefault="0021011A" w:rsidP="0021011A">
      <w:pPr>
        <w:spacing w:line="360" w:lineRule="auto"/>
        <w:rPr>
          <w:rFonts w:ascii="Bookman Old Style" w:hAnsi="Bookman Old Style"/>
        </w:rPr>
      </w:pPr>
      <w:r w:rsidRPr="007314EA">
        <w:rPr>
          <w:rFonts w:ascii="Bookman Old Style" w:hAnsi="Bookman Old Style"/>
        </w:rPr>
        <w:t xml:space="preserve">The redemption profile </w:t>
      </w:r>
      <w:r w:rsidR="00E779C6">
        <w:rPr>
          <w:rFonts w:ascii="Bookman Old Style" w:hAnsi="Bookman Old Style"/>
        </w:rPr>
        <w:t xml:space="preserve">captures </w:t>
      </w:r>
      <w:r w:rsidR="00E779C6" w:rsidRPr="007314EA">
        <w:rPr>
          <w:rFonts w:ascii="Bookman Old Style" w:hAnsi="Bookman Old Style"/>
        </w:rPr>
        <w:t>the</w:t>
      </w:r>
      <w:r w:rsidRPr="007314EA">
        <w:rPr>
          <w:rFonts w:ascii="Bookman Old Style" w:hAnsi="Bookman Old Style"/>
        </w:rPr>
        <w:t xml:space="preserve"> amount of debt that is falling due in a given period. This indicator shows the specific points of a country’s </w:t>
      </w:r>
      <w:r w:rsidR="00E779C6">
        <w:rPr>
          <w:rFonts w:ascii="Bookman Old Style" w:hAnsi="Bookman Old Style"/>
        </w:rPr>
        <w:t xml:space="preserve">debt </w:t>
      </w:r>
      <w:r w:rsidRPr="007314EA">
        <w:rPr>
          <w:rFonts w:ascii="Bookman Old Style" w:hAnsi="Bookman Old Style"/>
        </w:rPr>
        <w:t>vulnerability</w:t>
      </w:r>
      <w:r w:rsidR="00E779C6">
        <w:rPr>
          <w:rFonts w:ascii="Bookman Old Style" w:hAnsi="Bookman Old Style"/>
        </w:rPr>
        <w:t>,</w:t>
      </w:r>
      <w:r w:rsidRPr="007314EA">
        <w:rPr>
          <w:rFonts w:ascii="Bookman Old Style" w:hAnsi="Bookman Old Style"/>
        </w:rPr>
        <w:t xml:space="preserve"> which is manifested by high debt service payments in the debt repayment schedule. </w:t>
      </w:r>
      <w:r w:rsidR="0031279C">
        <w:rPr>
          <w:rFonts w:ascii="Bookman Old Style" w:hAnsi="Bookman Old Style"/>
        </w:rPr>
        <w:t>The profile shows that domestic debt is characterised by maturity spikes whilst external debt is smoother with maturities going as far as 2063 (not shown).</w:t>
      </w:r>
    </w:p>
    <w:p w14:paraId="0B746B35" w14:textId="77777777" w:rsidR="00B12D43" w:rsidRPr="006741E1" w:rsidRDefault="00B12D43" w:rsidP="0021011A">
      <w:pPr>
        <w:spacing w:line="360" w:lineRule="auto"/>
        <w:rPr>
          <w:rFonts w:ascii="Bookman Old Style" w:hAnsi="Bookman Old Style"/>
          <w:b/>
        </w:rPr>
      </w:pPr>
    </w:p>
    <w:p w14:paraId="1C033268" w14:textId="7B31075F" w:rsidR="00A85973" w:rsidRPr="00A85973" w:rsidRDefault="00A85973" w:rsidP="00A85973">
      <w:pPr>
        <w:pStyle w:val="Caption"/>
        <w:keepNext/>
        <w:jc w:val="both"/>
        <w:rPr>
          <w:rFonts w:ascii="Bookman Old Style" w:hAnsi="Bookman Old Style"/>
          <w:sz w:val="24"/>
          <w:szCs w:val="24"/>
        </w:rPr>
      </w:pPr>
      <w:bookmarkStart w:id="64" w:name="_Toc88660954"/>
      <w:r w:rsidRPr="00A85973">
        <w:rPr>
          <w:rFonts w:ascii="Bookman Old Style" w:hAnsi="Bookman Old Style"/>
          <w:sz w:val="24"/>
          <w:szCs w:val="24"/>
        </w:rPr>
        <w:t xml:space="preserve">Figure </w:t>
      </w:r>
      <w:r w:rsidRPr="00A85973">
        <w:rPr>
          <w:rFonts w:ascii="Bookman Old Style" w:hAnsi="Bookman Old Style"/>
          <w:sz w:val="24"/>
          <w:szCs w:val="24"/>
        </w:rPr>
        <w:fldChar w:fldCharType="begin"/>
      </w:r>
      <w:r w:rsidRPr="00A85973">
        <w:rPr>
          <w:rFonts w:ascii="Bookman Old Style" w:hAnsi="Bookman Old Style"/>
          <w:sz w:val="24"/>
          <w:szCs w:val="24"/>
        </w:rPr>
        <w:instrText xml:space="preserve"> SEQ Figure \* ARABIC </w:instrText>
      </w:r>
      <w:r w:rsidRPr="00A85973">
        <w:rPr>
          <w:rFonts w:ascii="Bookman Old Style" w:hAnsi="Bookman Old Style"/>
          <w:sz w:val="24"/>
          <w:szCs w:val="24"/>
        </w:rPr>
        <w:fldChar w:fldCharType="separate"/>
      </w:r>
      <w:r w:rsidR="00924FE2">
        <w:rPr>
          <w:rFonts w:ascii="Bookman Old Style" w:hAnsi="Bookman Old Style"/>
          <w:noProof/>
          <w:sz w:val="24"/>
          <w:szCs w:val="24"/>
        </w:rPr>
        <w:t>8</w:t>
      </w:r>
      <w:r w:rsidRPr="00A85973">
        <w:rPr>
          <w:rFonts w:ascii="Bookman Old Style" w:hAnsi="Bookman Old Style"/>
          <w:sz w:val="24"/>
          <w:szCs w:val="24"/>
        </w:rPr>
        <w:fldChar w:fldCharType="end"/>
      </w:r>
      <w:r w:rsidRPr="00A85973">
        <w:rPr>
          <w:rFonts w:ascii="Bookman Old Style" w:hAnsi="Bookman Old Style"/>
          <w:sz w:val="24"/>
          <w:szCs w:val="24"/>
        </w:rPr>
        <w:t>: Malawi's Debt Redemption Profile, By FY</w:t>
      </w:r>
      <w:bookmarkEnd w:id="64"/>
      <w:r w:rsidRPr="00A85973">
        <w:rPr>
          <w:rFonts w:ascii="Bookman Old Style" w:hAnsi="Bookman Old Style"/>
          <w:sz w:val="24"/>
          <w:szCs w:val="24"/>
        </w:rPr>
        <w:t xml:space="preserve"> </w:t>
      </w:r>
    </w:p>
    <w:p w14:paraId="58CF3A5B" w14:textId="2F1339AE" w:rsidR="00054FE6" w:rsidRDefault="00054FE6" w:rsidP="0021011A">
      <w:pPr>
        <w:spacing w:line="360" w:lineRule="auto"/>
        <w:rPr>
          <w:rFonts w:ascii="Bookman Old Style" w:hAnsi="Bookman Old Style"/>
          <w:lang w:val="en-US"/>
        </w:rPr>
      </w:pPr>
      <w:r w:rsidRPr="00494485">
        <w:rPr>
          <w:noProof/>
          <w:u w:val="single"/>
          <w:lang w:eastAsia="en-GB"/>
        </w:rPr>
        <w:drawing>
          <wp:inline distT="0" distB="0" distL="0" distR="0" wp14:anchorId="2637C7D8" wp14:editId="24F2B260">
            <wp:extent cx="5832222" cy="2486805"/>
            <wp:effectExtent l="0" t="0" r="0" b="8890"/>
            <wp:docPr id="9" name="Chart 9">
              <a:extLst xmlns:a="http://schemas.openxmlformats.org/drawingml/2006/main">
                <a:ext uri="{FF2B5EF4-FFF2-40B4-BE49-F238E27FC236}">
                  <a16:creationId xmlns:a16="http://schemas.microsoft.com/office/drawing/2014/main" id="{00000000-0008-0000-0500-00004D249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5B9BA7" w14:textId="499FA856" w:rsidR="0021011A" w:rsidRDefault="0021011A" w:rsidP="00006509">
      <w:pPr>
        <w:tabs>
          <w:tab w:val="center" w:pos="4513"/>
        </w:tabs>
        <w:spacing w:line="360" w:lineRule="auto"/>
        <w:rPr>
          <w:rFonts w:ascii="Bookman Old Style" w:hAnsi="Bookman Old Style"/>
          <w:lang w:val="en-US"/>
        </w:rPr>
      </w:pPr>
      <w:r>
        <w:rPr>
          <w:rFonts w:ascii="Bookman Old Style" w:hAnsi="Bookman Old Style"/>
          <w:lang w:val="en-US"/>
        </w:rPr>
        <w:t xml:space="preserve">Source: </w:t>
      </w:r>
      <w:r w:rsidR="0042692A">
        <w:rPr>
          <w:rFonts w:ascii="Bookman Old Style" w:hAnsi="Bookman Old Style"/>
          <w:lang w:val="en-US"/>
        </w:rPr>
        <w:t>MoF staff calculations.</w:t>
      </w:r>
      <w:r w:rsidR="00006509">
        <w:rPr>
          <w:rFonts w:ascii="Bookman Old Style" w:hAnsi="Bookman Old Style"/>
          <w:lang w:val="en-US"/>
        </w:rPr>
        <w:tab/>
      </w:r>
    </w:p>
    <w:p w14:paraId="73E2A013" w14:textId="7A0A9B44" w:rsidR="00B12D43" w:rsidRDefault="00E779C6" w:rsidP="00E779C6">
      <w:pPr>
        <w:tabs>
          <w:tab w:val="left" w:pos="4977"/>
        </w:tabs>
        <w:spacing w:line="360" w:lineRule="auto"/>
        <w:rPr>
          <w:rFonts w:ascii="Bookman Old Style" w:hAnsi="Bookman Old Style"/>
          <w:lang w:val="en-US"/>
        </w:rPr>
      </w:pPr>
      <w:r>
        <w:rPr>
          <w:rFonts w:ascii="Bookman Old Style" w:hAnsi="Bookman Old Style"/>
          <w:lang w:val="en-US"/>
        </w:rPr>
        <w:tab/>
      </w:r>
    </w:p>
    <w:p w14:paraId="636F31D4" w14:textId="069AF93D" w:rsidR="0021011A" w:rsidRDefault="0021011A" w:rsidP="0021011A">
      <w:pPr>
        <w:pStyle w:val="Heading2"/>
      </w:pPr>
      <w:bookmarkStart w:id="65" w:name="_Toc88660857"/>
      <w:r>
        <w:lastRenderedPageBreak/>
        <w:t xml:space="preserve">5.2 </w:t>
      </w:r>
      <w:r w:rsidRPr="007314EA">
        <w:t xml:space="preserve">Refinancing Risk </w:t>
      </w:r>
      <w:r w:rsidRPr="00B70677">
        <w:t>Using</w:t>
      </w:r>
      <w:r w:rsidRPr="007314EA">
        <w:t xml:space="preserve"> Average Time Maturity</w:t>
      </w:r>
      <w:bookmarkEnd w:id="65"/>
    </w:p>
    <w:p w14:paraId="02585841" w14:textId="5050B27B" w:rsidR="00B12D43" w:rsidRDefault="00B12D43" w:rsidP="00B12D43"/>
    <w:p w14:paraId="42DBEAA8" w14:textId="77777777" w:rsidR="00034757" w:rsidRPr="00B12D43" w:rsidRDefault="00034757" w:rsidP="00B12D43"/>
    <w:p w14:paraId="5AB5ED8E" w14:textId="04367667" w:rsidR="00B12D43" w:rsidRDefault="00034757" w:rsidP="0021011A">
      <w:pPr>
        <w:spacing w:line="360" w:lineRule="auto"/>
        <w:rPr>
          <w:rFonts w:ascii="Bookman Old Style" w:hAnsi="Bookman Old Style"/>
        </w:rPr>
      </w:pPr>
      <w:r w:rsidRPr="007314EA">
        <w:rPr>
          <w:rFonts w:ascii="Bookman Old Style" w:hAnsi="Bookman Old Style"/>
        </w:rPr>
        <w:t xml:space="preserve">The </w:t>
      </w:r>
      <w:r>
        <w:rPr>
          <w:rFonts w:ascii="Bookman Old Style" w:hAnsi="Bookman Old Style"/>
        </w:rPr>
        <w:t>Average Time to Maturity (</w:t>
      </w:r>
      <w:r w:rsidR="0021011A">
        <w:rPr>
          <w:rFonts w:ascii="Bookman Old Style" w:hAnsi="Bookman Old Style"/>
        </w:rPr>
        <w:t>ATM</w:t>
      </w:r>
      <w:r>
        <w:rPr>
          <w:rFonts w:ascii="Bookman Old Style" w:hAnsi="Bookman Old Style"/>
        </w:rPr>
        <w:t>)</w:t>
      </w:r>
      <w:r w:rsidR="0021011A" w:rsidRPr="007314EA">
        <w:rPr>
          <w:rFonts w:ascii="Bookman Old Style" w:hAnsi="Bookman Old Style"/>
        </w:rPr>
        <w:t xml:space="preserve"> of the debt portfolio </w:t>
      </w:r>
      <w:r w:rsidR="0021011A">
        <w:rPr>
          <w:rFonts w:ascii="Bookman Old Style" w:hAnsi="Bookman Old Style"/>
        </w:rPr>
        <w:t xml:space="preserve">indicates that the </w:t>
      </w:r>
      <w:r w:rsidR="0021011A" w:rsidRPr="003D48EF">
        <w:rPr>
          <w:rFonts w:ascii="Bookman Old Style" w:hAnsi="Bookman Old Style"/>
        </w:rPr>
        <w:t>average h</w:t>
      </w:r>
      <w:r w:rsidR="00B12D43" w:rsidRPr="003D48EF">
        <w:rPr>
          <w:rFonts w:ascii="Bookman Old Style" w:hAnsi="Bookman Old Style"/>
        </w:rPr>
        <w:t>olding needs to be repaid</w:t>
      </w:r>
      <w:r w:rsidR="00B12D43">
        <w:rPr>
          <w:rFonts w:ascii="Bookman Old Style" w:hAnsi="Bookman Old Style"/>
        </w:rPr>
        <w:t xml:space="preserve"> in 7.8</w:t>
      </w:r>
      <w:r w:rsidR="0021011A">
        <w:rPr>
          <w:rFonts w:ascii="Bookman Old Style" w:hAnsi="Bookman Old Style"/>
        </w:rPr>
        <w:t xml:space="preserve"> years. </w:t>
      </w:r>
      <w:r w:rsidR="00B12D43">
        <w:rPr>
          <w:rFonts w:ascii="Bookman Old Style" w:hAnsi="Bookman Old Style"/>
        </w:rPr>
        <w:t>This</w:t>
      </w:r>
      <w:r w:rsidR="00563421">
        <w:rPr>
          <w:rFonts w:ascii="Bookman Old Style" w:hAnsi="Bookman Old Style"/>
        </w:rPr>
        <w:t xml:space="preserve"> is</w:t>
      </w:r>
      <w:r w:rsidR="00B12D43">
        <w:rPr>
          <w:rFonts w:ascii="Bookman Old Style" w:hAnsi="Bookman Old Style"/>
        </w:rPr>
        <w:t xml:space="preserve"> driven by a high proportion of domestic</w:t>
      </w:r>
      <w:r w:rsidR="0019449C">
        <w:rPr>
          <w:rFonts w:ascii="Bookman Old Style" w:hAnsi="Bookman Old Style"/>
        </w:rPr>
        <w:t xml:space="preserve"> </w:t>
      </w:r>
      <w:r w:rsidR="003D48EF">
        <w:rPr>
          <w:rFonts w:ascii="Bookman Old Style" w:hAnsi="Bookman Old Style"/>
        </w:rPr>
        <w:t>debt, which has original,</w:t>
      </w:r>
      <w:r w:rsidR="0019449C">
        <w:rPr>
          <w:rFonts w:ascii="Bookman Old Style" w:hAnsi="Bookman Old Style"/>
        </w:rPr>
        <w:t xml:space="preserve"> and remaining maturity periods that are lower as compared to external debt</w:t>
      </w:r>
      <w:r w:rsidR="00B12D43">
        <w:rPr>
          <w:rFonts w:ascii="Bookman Old Style" w:hAnsi="Bookman Old Style"/>
        </w:rPr>
        <w:t xml:space="preserve">. The ATM </w:t>
      </w:r>
      <w:r w:rsidR="002228C1">
        <w:rPr>
          <w:rFonts w:ascii="Bookman Old Style" w:hAnsi="Bookman Old Style"/>
        </w:rPr>
        <w:t>for domestic debt is 2.7 years whilst external</w:t>
      </w:r>
      <w:r w:rsidR="00B12D43">
        <w:rPr>
          <w:rFonts w:ascii="Bookman Old Style" w:hAnsi="Bookman Old Style"/>
        </w:rPr>
        <w:t xml:space="preserve"> debt </w:t>
      </w:r>
      <w:r w:rsidR="002228C1">
        <w:rPr>
          <w:rFonts w:ascii="Bookman Old Style" w:hAnsi="Bookman Old Style"/>
        </w:rPr>
        <w:t>is 13.5</w:t>
      </w:r>
      <w:r w:rsidR="00B12D43">
        <w:rPr>
          <w:rFonts w:ascii="Bookman Old Style" w:hAnsi="Bookman Old Style"/>
        </w:rPr>
        <w:t xml:space="preserve"> years</w:t>
      </w:r>
      <w:r w:rsidR="002228C1">
        <w:rPr>
          <w:rFonts w:ascii="Bookman Old Style" w:hAnsi="Bookman Old Style"/>
        </w:rPr>
        <w:t>.</w:t>
      </w:r>
      <w:r w:rsidR="003D48EF">
        <w:rPr>
          <w:rFonts w:ascii="Bookman Old Style" w:hAnsi="Bookman Old Style"/>
        </w:rPr>
        <w:t xml:space="preserve"> The ATM for external debt has gone down from 14.8 years reported in previous year due to the reclassification of some domestic debt to external debt and inclusion of Spain in the portfoli</w:t>
      </w:r>
      <w:r>
        <w:rPr>
          <w:rFonts w:ascii="Bookman Old Style" w:hAnsi="Bookman Old Style"/>
        </w:rPr>
        <w:t>o, a</w:t>
      </w:r>
      <w:r w:rsidR="0031279C">
        <w:rPr>
          <w:rFonts w:ascii="Bookman Old Style" w:hAnsi="Bookman Old Style"/>
        </w:rPr>
        <w:t>ll provided under non concessional</w:t>
      </w:r>
      <w:r w:rsidR="003D48EF">
        <w:rPr>
          <w:rFonts w:ascii="Bookman Old Style" w:hAnsi="Bookman Old Style"/>
        </w:rPr>
        <w:t xml:space="preserve"> terms. </w:t>
      </w:r>
    </w:p>
    <w:p w14:paraId="38690E28" w14:textId="77777777" w:rsidR="00034757" w:rsidRPr="007314EA" w:rsidRDefault="00034757" w:rsidP="0021011A">
      <w:pPr>
        <w:spacing w:line="360" w:lineRule="auto"/>
        <w:rPr>
          <w:rFonts w:ascii="Bookman Old Style" w:hAnsi="Bookman Old Style"/>
        </w:rPr>
      </w:pPr>
    </w:p>
    <w:p w14:paraId="54B8A68E" w14:textId="178059CF" w:rsidR="0021011A" w:rsidRDefault="0021011A" w:rsidP="0021011A">
      <w:pPr>
        <w:pStyle w:val="Heading2"/>
      </w:pPr>
      <w:bookmarkStart w:id="66" w:name="_Toc88660858"/>
      <w:r>
        <w:t xml:space="preserve">5.3 </w:t>
      </w:r>
      <w:r w:rsidRPr="007314EA">
        <w:t>Interest Rate Risk</w:t>
      </w:r>
      <w:bookmarkEnd w:id="66"/>
    </w:p>
    <w:p w14:paraId="3202146B" w14:textId="77777777" w:rsidR="00B12D43" w:rsidRPr="00B12D43" w:rsidRDefault="00B12D43" w:rsidP="00B12D43"/>
    <w:p w14:paraId="4ADA6F6D" w14:textId="54FE53F9" w:rsidR="0021011A" w:rsidRDefault="0021011A" w:rsidP="0021011A">
      <w:pPr>
        <w:spacing w:line="360" w:lineRule="auto"/>
        <w:rPr>
          <w:rFonts w:ascii="Bookman Old Style" w:hAnsi="Bookman Old Style" w:cs="Rockwell"/>
          <w:lang w:val="en-AU"/>
        </w:rPr>
      </w:pPr>
      <w:r>
        <w:rPr>
          <w:rFonts w:ascii="Bookman Old Style" w:hAnsi="Bookman Old Style" w:cs="Rockwell"/>
          <w:lang w:val="en-AU"/>
        </w:rPr>
        <w:t>With all of Malawi’s debt being fixed interest rate debt, all interest charges are updated upon roll-over. Thus, the Average Time to Refixing (</w:t>
      </w:r>
      <w:r w:rsidR="00B12D43">
        <w:rPr>
          <w:rFonts w:ascii="Bookman Old Style" w:hAnsi="Bookman Old Style" w:cs="Rockwell"/>
          <w:lang w:val="en-AU"/>
        </w:rPr>
        <w:t>ATR) is the same as the ATM</w:t>
      </w:r>
      <w:r w:rsidR="003A70C4">
        <w:rPr>
          <w:rFonts w:ascii="Bookman Old Style" w:hAnsi="Bookman Old Style" w:cs="Rockwell"/>
          <w:lang w:val="en-AU"/>
        </w:rPr>
        <w:t xml:space="preserve"> at</w:t>
      </w:r>
      <w:r w:rsidR="003D48EF">
        <w:rPr>
          <w:rFonts w:ascii="Bookman Old Style" w:hAnsi="Bookman Old Style" w:cs="Rockwell"/>
          <w:lang w:val="en-AU"/>
        </w:rPr>
        <w:t xml:space="preserve"> </w:t>
      </w:r>
      <w:r w:rsidR="00B12D43">
        <w:rPr>
          <w:rFonts w:ascii="Bookman Old Style" w:hAnsi="Bookman Old Style" w:cs="Rockwell"/>
          <w:lang w:val="en-AU"/>
        </w:rPr>
        <w:t>7.8</w:t>
      </w:r>
      <w:r>
        <w:rPr>
          <w:rFonts w:ascii="Bookman Old Style" w:hAnsi="Bookman Old Style" w:cs="Rockwell"/>
          <w:lang w:val="en-AU"/>
        </w:rPr>
        <w:t xml:space="preserve"> years. </w:t>
      </w:r>
    </w:p>
    <w:p w14:paraId="3BE84E99" w14:textId="77777777" w:rsidR="005A2894" w:rsidRPr="007314EA" w:rsidRDefault="005A2894" w:rsidP="0021011A">
      <w:pPr>
        <w:spacing w:line="360" w:lineRule="auto"/>
        <w:rPr>
          <w:rFonts w:ascii="Bookman Old Style" w:hAnsi="Bookman Old Style" w:cs="Rockwell"/>
          <w:lang w:val="en-AU"/>
        </w:rPr>
      </w:pPr>
    </w:p>
    <w:p w14:paraId="38F17A45" w14:textId="5CA5352C" w:rsidR="0021011A" w:rsidRDefault="0021011A" w:rsidP="0021011A">
      <w:pPr>
        <w:pStyle w:val="Heading2"/>
        <w:rPr>
          <w:lang w:val="en-AU"/>
        </w:rPr>
      </w:pPr>
      <w:bookmarkStart w:id="67" w:name="_Toc88660859"/>
      <w:r>
        <w:rPr>
          <w:lang w:val="en-AU"/>
        </w:rPr>
        <w:t xml:space="preserve">5.4 </w:t>
      </w:r>
      <w:r w:rsidRPr="007314EA">
        <w:rPr>
          <w:lang w:val="en-AU"/>
        </w:rPr>
        <w:t>Exchange</w:t>
      </w:r>
      <w:r>
        <w:rPr>
          <w:lang w:val="en-AU"/>
        </w:rPr>
        <w:t xml:space="preserve"> Rate</w:t>
      </w:r>
      <w:r w:rsidRPr="007314EA">
        <w:rPr>
          <w:lang w:val="en-AU"/>
        </w:rPr>
        <w:t xml:space="preserve"> </w:t>
      </w:r>
      <w:r>
        <w:rPr>
          <w:lang w:val="en-AU"/>
        </w:rPr>
        <w:t>R</w:t>
      </w:r>
      <w:r w:rsidRPr="007314EA">
        <w:rPr>
          <w:lang w:val="en-AU"/>
        </w:rPr>
        <w:t>isk</w:t>
      </w:r>
      <w:bookmarkEnd w:id="67"/>
    </w:p>
    <w:p w14:paraId="48F5C242" w14:textId="77777777" w:rsidR="00B12D43" w:rsidRPr="00B12D43" w:rsidRDefault="00B12D43" w:rsidP="00B12D43">
      <w:pPr>
        <w:rPr>
          <w:lang w:val="en-AU"/>
        </w:rPr>
      </w:pPr>
    </w:p>
    <w:p w14:paraId="22EC8275" w14:textId="3F99C7DC" w:rsidR="0021011A" w:rsidRPr="006741E1" w:rsidRDefault="0021011A" w:rsidP="0021011A">
      <w:pPr>
        <w:spacing w:line="360" w:lineRule="auto"/>
        <w:rPr>
          <w:rFonts w:ascii="Bookman Old Style" w:hAnsi="Bookman Old Style"/>
        </w:rPr>
      </w:pPr>
      <w:r>
        <w:rPr>
          <w:rFonts w:ascii="Bookman Old Style" w:hAnsi="Bookman Old Style"/>
        </w:rPr>
        <w:t>As for</w:t>
      </w:r>
      <w:r w:rsidRPr="006741E1">
        <w:rPr>
          <w:rFonts w:ascii="Bookman Old Style" w:hAnsi="Bookman Old Style"/>
        </w:rPr>
        <w:t xml:space="preserve"> foreign exchange risk, </w:t>
      </w:r>
      <w:r w:rsidR="00B12D43">
        <w:rPr>
          <w:rFonts w:ascii="Bookman Old Style" w:hAnsi="Bookman Old Style"/>
        </w:rPr>
        <w:t>45</w:t>
      </w:r>
      <w:r w:rsidR="003D48EF">
        <w:rPr>
          <w:rFonts w:ascii="Bookman Old Style" w:hAnsi="Bookman Old Style"/>
        </w:rPr>
        <w:t>.3</w:t>
      </w:r>
      <w:r w:rsidRPr="006741E1">
        <w:rPr>
          <w:rFonts w:ascii="Bookman Old Style" w:hAnsi="Bookman Old Style"/>
        </w:rPr>
        <w:t xml:space="preserve"> percent of the debt stock was denominated in foreign currency at the end</w:t>
      </w:r>
      <w:r>
        <w:rPr>
          <w:rFonts w:ascii="Bookman Old Style" w:hAnsi="Bookman Old Style"/>
        </w:rPr>
        <w:t xml:space="preserve"> of</w:t>
      </w:r>
      <w:r w:rsidRPr="006741E1">
        <w:rPr>
          <w:rFonts w:ascii="Bookman Old Style" w:hAnsi="Bookman Old Style"/>
        </w:rPr>
        <w:t xml:space="preserve"> June 20</w:t>
      </w:r>
      <w:r>
        <w:rPr>
          <w:rFonts w:ascii="Bookman Old Style" w:hAnsi="Bookman Old Style"/>
        </w:rPr>
        <w:t>2</w:t>
      </w:r>
      <w:r w:rsidR="00B12D43">
        <w:rPr>
          <w:rFonts w:ascii="Bookman Old Style" w:hAnsi="Bookman Old Style"/>
        </w:rPr>
        <w:t>1</w:t>
      </w:r>
      <w:r w:rsidRPr="006741E1">
        <w:rPr>
          <w:rFonts w:ascii="Bookman Old Style" w:hAnsi="Bookman Old Style"/>
        </w:rPr>
        <w:t xml:space="preserve">. </w:t>
      </w:r>
      <w:r w:rsidR="00B12D43">
        <w:rPr>
          <w:rFonts w:ascii="Bookman Old Style" w:hAnsi="Bookman Old Style"/>
        </w:rPr>
        <w:t xml:space="preserve">This </w:t>
      </w:r>
      <w:r w:rsidR="003D48EF">
        <w:rPr>
          <w:rFonts w:ascii="Bookman Old Style" w:hAnsi="Bookman Old Style"/>
        </w:rPr>
        <w:t xml:space="preserve">is an </w:t>
      </w:r>
      <w:r w:rsidR="00B12D43">
        <w:rPr>
          <w:rFonts w:ascii="Bookman Old Style" w:hAnsi="Bookman Old Style"/>
        </w:rPr>
        <w:t>increase</w:t>
      </w:r>
      <w:r w:rsidR="003D48EF">
        <w:rPr>
          <w:rFonts w:ascii="Bookman Old Style" w:hAnsi="Bookman Old Style"/>
        </w:rPr>
        <w:t xml:space="preserve"> from 43.8 percent reported in the previous edition and largely</w:t>
      </w:r>
      <w:r w:rsidR="00B12D43">
        <w:rPr>
          <w:rFonts w:ascii="Bookman Old Style" w:hAnsi="Bookman Old Style"/>
        </w:rPr>
        <w:t xml:space="preserve"> reflects the reclassification of some dome</w:t>
      </w:r>
      <w:r w:rsidR="003D48EF">
        <w:rPr>
          <w:rFonts w:ascii="Bookman Old Style" w:hAnsi="Bookman Old Style"/>
        </w:rPr>
        <w:t>stic debt to</w:t>
      </w:r>
      <w:r w:rsidR="003F2330">
        <w:rPr>
          <w:rFonts w:ascii="Bookman Old Style" w:hAnsi="Bookman Old Style"/>
        </w:rPr>
        <w:t xml:space="preserve"> external debt. This large proportion implies</w:t>
      </w:r>
      <w:r w:rsidR="00B12D43">
        <w:rPr>
          <w:rFonts w:ascii="Bookman Old Style" w:hAnsi="Bookman Old Style"/>
        </w:rPr>
        <w:t xml:space="preserve"> that almost ha</w:t>
      </w:r>
      <w:r w:rsidR="003F2330">
        <w:rPr>
          <w:rFonts w:ascii="Bookman Old Style" w:hAnsi="Bookman Old Style"/>
        </w:rPr>
        <w:t>l</w:t>
      </w:r>
      <w:r w:rsidR="00B12D43">
        <w:rPr>
          <w:rFonts w:ascii="Bookman Old Style" w:hAnsi="Bookman Old Style"/>
        </w:rPr>
        <w:t xml:space="preserve">f of Malawi’s </w:t>
      </w:r>
      <w:r w:rsidRPr="006741E1">
        <w:rPr>
          <w:rFonts w:ascii="Bookman Old Style" w:hAnsi="Bookman Old Style"/>
        </w:rPr>
        <w:t>debt is susceptible to exchange rate movements. Exchange rate shocks can substantially contribute to higher debt service payments in local currency terms</w:t>
      </w:r>
      <w:r>
        <w:rPr>
          <w:rFonts w:ascii="Bookman Old Style" w:hAnsi="Bookman Old Style"/>
        </w:rPr>
        <w:t>,</w:t>
      </w:r>
      <w:r w:rsidRPr="006741E1">
        <w:rPr>
          <w:rFonts w:ascii="Bookman Old Style" w:hAnsi="Bookman Old Style"/>
        </w:rPr>
        <w:t xml:space="preserve"> thereby leading to higher payments in the budget than projected.</w:t>
      </w:r>
    </w:p>
    <w:p w14:paraId="665590BA" w14:textId="433445B7" w:rsidR="0021011A" w:rsidRDefault="0021011A" w:rsidP="0021011A">
      <w:pPr>
        <w:spacing w:line="360" w:lineRule="auto"/>
        <w:rPr>
          <w:rFonts w:ascii="Bookman Old Style" w:hAnsi="Bookman Old Style"/>
          <w:b/>
        </w:rPr>
      </w:pPr>
    </w:p>
    <w:p w14:paraId="476350E0" w14:textId="556421E2" w:rsidR="00B12D43" w:rsidRDefault="00B12D43" w:rsidP="0021011A">
      <w:pPr>
        <w:spacing w:line="360" w:lineRule="auto"/>
        <w:rPr>
          <w:rFonts w:ascii="Bookman Old Style" w:hAnsi="Bookman Old Style"/>
          <w:b/>
        </w:rPr>
      </w:pPr>
    </w:p>
    <w:p w14:paraId="7D74B071" w14:textId="0F82A605" w:rsidR="00B12D43" w:rsidRDefault="00B12D43" w:rsidP="0021011A">
      <w:pPr>
        <w:spacing w:line="360" w:lineRule="auto"/>
        <w:rPr>
          <w:rFonts w:ascii="Bookman Old Style" w:hAnsi="Bookman Old Style"/>
          <w:b/>
        </w:rPr>
      </w:pPr>
    </w:p>
    <w:p w14:paraId="2227C87D" w14:textId="7B815B1B" w:rsidR="00B12D43" w:rsidRDefault="00B12D43" w:rsidP="0021011A">
      <w:pPr>
        <w:spacing w:line="360" w:lineRule="auto"/>
        <w:rPr>
          <w:rFonts w:ascii="Bookman Old Style" w:hAnsi="Bookman Old Style"/>
          <w:b/>
        </w:rPr>
      </w:pPr>
    </w:p>
    <w:p w14:paraId="2318FC6B" w14:textId="3EED630C" w:rsidR="00B12D43" w:rsidRPr="006741E1" w:rsidRDefault="00B12D43" w:rsidP="0021011A">
      <w:pPr>
        <w:spacing w:line="360" w:lineRule="auto"/>
        <w:rPr>
          <w:rFonts w:ascii="Bookman Old Style" w:hAnsi="Bookman Old Style"/>
          <w:b/>
        </w:rPr>
      </w:pPr>
    </w:p>
    <w:p w14:paraId="7B9E21AF" w14:textId="126C741D" w:rsidR="0021011A" w:rsidRPr="009075B1" w:rsidRDefault="009075B1" w:rsidP="009075B1">
      <w:pPr>
        <w:pStyle w:val="Caption"/>
        <w:rPr>
          <w:rFonts w:ascii="Bookman Old Style" w:hAnsi="Bookman Old Style"/>
          <w:sz w:val="24"/>
          <w:szCs w:val="24"/>
        </w:rPr>
      </w:pPr>
      <w:bookmarkStart w:id="68" w:name="_Toc88660891"/>
      <w:r w:rsidRPr="009075B1">
        <w:rPr>
          <w:rFonts w:ascii="Bookman Old Style" w:hAnsi="Bookman Old Style"/>
          <w:sz w:val="24"/>
          <w:szCs w:val="24"/>
        </w:rPr>
        <w:lastRenderedPageBreak/>
        <w:t xml:space="preserve">Table </w:t>
      </w:r>
      <w:r w:rsidRPr="009075B1">
        <w:rPr>
          <w:rFonts w:ascii="Bookman Old Style" w:hAnsi="Bookman Old Style"/>
          <w:sz w:val="24"/>
          <w:szCs w:val="24"/>
        </w:rPr>
        <w:fldChar w:fldCharType="begin"/>
      </w:r>
      <w:r w:rsidRPr="009075B1">
        <w:rPr>
          <w:rFonts w:ascii="Bookman Old Style" w:hAnsi="Bookman Old Style"/>
          <w:sz w:val="24"/>
          <w:szCs w:val="24"/>
        </w:rPr>
        <w:instrText xml:space="preserve"> SEQ Table \* ARABIC </w:instrText>
      </w:r>
      <w:r w:rsidRPr="009075B1">
        <w:rPr>
          <w:rFonts w:ascii="Bookman Old Style" w:hAnsi="Bookman Old Style"/>
          <w:sz w:val="24"/>
          <w:szCs w:val="24"/>
        </w:rPr>
        <w:fldChar w:fldCharType="separate"/>
      </w:r>
      <w:r w:rsidR="00924FE2">
        <w:rPr>
          <w:rFonts w:ascii="Bookman Old Style" w:hAnsi="Bookman Old Style"/>
          <w:noProof/>
          <w:sz w:val="24"/>
          <w:szCs w:val="24"/>
        </w:rPr>
        <w:t>5</w:t>
      </w:r>
      <w:r w:rsidRPr="009075B1">
        <w:rPr>
          <w:rFonts w:ascii="Bookman Old Style" w:hAnsi="Bookman Old Style"/>
          <w:sz w:val="24"/>
          <w:szCs w:val="24"/>
        </w:rPr>
        <w:fldChar w:fldCharType="end"/>
      </w:r>
      <w:r w:rsidRPr="009075B1">
        <w:rPr>
          <w:rFonts w:ascii="Bookman Old Style" w:hAnsi="Bookman Old Style"/>
          <w:sz w:val="24"/>
          <w:szCs w:val="24"/>
        </w:rPr>
        <w:t>: Cost and Risk Indicators for Existing Debt (end-June 2021)</w:t>
      </w:r>
      <w:bookmarkEnd w:id="68"/>
    </w:p>
    <w:tbl>
      <w:tblPr>
        <w:tblW w:w="944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33"/>
        <w:gridCol w:w="3492"/>
        <w:gridCol w:w="1440"/>
        <w:gridCol w:w="1440"/>
        <w:gridCol w:w="1440"/>
      </w:tblGrid>
      <w:tr w:rsidR="0021011A" w:rsidRPr="0086453C" w14:paraId="023D7F33" w14:textId="77777777" w:rsidTr="00B91BE7">
        <w:trPr>
          <w:trHeight w:val="242"/>
        </w:trPr>
        <w:tc>
          <w:tcPr>
            <w:tcW w:w="5125" w:type="dxa"/>
            <w:gridSpan w:val="2"/>
            <w:tcBorders>
              <w:top w:val="single" w:sz="18" w:space="0" w:color="auto"/>
              <w:bottom w:val="single" w:sz="18" w:space="0" w:color="auto"/>
            </w:tcBorders>
            <w:shd w:val="clear" w:color="auto" w:fill="B3D5AB" w:themeFill="accent4" w:themeFillTint="66"/>
            <w:noWrap/>
            <w:vAlign w:val="bottom"/>
            <w:hideMark/>
          </w:tcPr>
          <w:p w14:paraId="7C7F28E9" w14:textId="77777777" w:rsidR="0021011A" w:rsidRPr="0086453C" w:rsidRDefault="0021011A" w:rsidP="004D7A01">
            <w:pPr>
              <w:rPr>
                <w:rFonts w:ascii="Bookman Old Style" w:hAnsi="Bookman Old Style" w:cs="Calibri"/>
                <w:b/>
                <w:bCs/>
                <w:color w:val="000000"/>
                <w:sz w:val="20"/>
                <w:szCs w:val="20"/>
                <w:lang w:eastAsia="en-GB"/>
              </w:rPr>
            </w:pPr>
            <w:r w:rsidRPr="0086453C">
              <w:rPr>
                <w:rFonts w:ascii="Bookman Old Style" w:hAnsi="Bookman Old Style" w:cs="Calibri"/>
                <w:b/>
                <w:bCs/>
                <w:color w:val="000000"/>
                <w:sz w:val="20"/>
                <w:szCs w:val="20"/>
                <w:lang w:eastAsia="en-GB"/>
              </w:rPr>
              <w:t>Risk Indicators</w:t>
            </w:r>
          </w:p>
        </w:tc>
        <w:tc>
          <w:tcPr>
            <w:tcW w:w="1440" w:type="dxa"/>
            <w:tcBorders>
              <w:top w:val="single" w:sz="18" w:space="0" w:color="auto"/>
              <w:bottom w:val="single" w:sz="18" w:space="0" w:color="auto"/>
            </w:tcBorders>
            <w:shd w:val="clear" w:color="auto" w:fill="B3D5AB" w:themeFill="accent4" w:themeFillTint="66"/>
            <w:noWrap/>
            <w:vAlign w:val="bottom"/>
            <w:hideMark/>
          </w:tcPr>
          <w:p w14:paraId="35517A0A" w14:textId="77777777" w:rsidR="0021011A" w:rsidRPr="0086453C" w:rsidRDefault="0021011A" w:rsidP="004D7A01">
            <w:pPr>
              <w:jc w:val="center"/>
              <w:rPr>
                <w:rFonts w:ascii="Bookman Old Style" w:hAnsi="Bookman Old Style" w:cs="Calibri"/>
                <w:b/>
                <w:bCs/>
                <w:color w:val="000000"/>
                <w:sz w:val="20"/>
                <w:szCs w:val="20"/>
                <w:lang w:eastAsia="en-GB"/>
              </w:rPr>
            </w:pPr>
            <w:r w:rsidRPr="0086453C">
              <w:rPr>
                <w:rFonts w:ascii="Bookman Old Style" w:hAnsi="Bookman Old Style" w:cs="Calibri"/>
                <w:b/>
                <w:bCs/>
                <w:color w:val="000000"/>
                <w:sz w:val="20"/>
                <w:szCs w:val="20"/>
                <w:lang w:eastAsia="en-GB"/>
              </w:rPr>
              <w:t>External debt</w:t>
            </w:r>
          </w:p>
        </w:tc>
        <w:tc>
          <w:tcPr>
            <w:tcW w:w="1440" w:type="dxa"/>
            <w:tcBorders>
              <w:top w:val="single" w:sz="18" w:space="0" w:color="auto"/>
              <w:bottom w:val="single" w:sz="18" w:space="0" w:color="auto"/>
            </w:tcBorders>
            <w:shd w:val="clear" w:color="auto" w:fill="B3D5AB" w:themeFill="accent4" w:themeFillTint="66"/>
            <w:noWrap/>
            <w:vAlign w:val="bottom"/>
            <w:hideMark/>
          </w:tcPr>
          <w:p w14:paraId="11C3B42B" w14:textId="77777777" w:rsidR="0021011A" w:rsidRPr="0086453C" w:rsidRDefault="0021011A" w:rsidP="004D7A01">
            <w:pPr>
              <w:jc w:val="right"/>
              <w:rPr>
                <w:rFonts w:ascii="Bookman Old Style" w:hAnsi="Bookman Old Style" w:cs="Calibri"/>
                <w:b/>
                <w:bCs/>
                <w:color w:val="000000"/>
                <w:sz w:val="20"/>
                <w:szCs w:val="20"/>
                <w:lang w:eastAsia="en-GB"/>
              </w:rPr>
            </w:pPr>
            <w:r w:rsidRPr="0086453C">
              <w:rPr>
                <w:rFonts w:ascii="Bookman Old Style" w:hAnsi="Bookman Old Style" w:cs="Calibri"/>
                <w:b/>
                <w:bCs/>
                <w:color w:val="000000"/>
                <w:sz w:val="20"/>
                <w:szCs w:val="20"/>
                <w:lang w:eastAsia="en-GB"/>
              </w:rPr>
              <w:t>Domestic debt</w:t>
            </w:r>
          </w:p>
        </w:tc>
        <w:tc>
          <w:tcPr>
            <w:tcW w:w="1440" w:type="dxa"/>
            <w:tcBorders>
              <w:top w:val="single" w:sz="18" w:space="0" w:color="auto"/>
              <w:bottom w:val="single" w:sz="18" w:space="0" w:color="auto"/>
            </w:tcBorders>
            <w:shd w:val="clear" w:color="auto" w:fill="B3D5AB" w:themeFill="accent4" w:themeFillTint="66"/>
            <w:noWrap/>
            <w:vAlign w:val="bottom"/>
            <w:hideMark/>
          </w:tcPr>
          <w:p w14:paraId="1BE383A1" w14:textId="77777777" w:rsidR="0021011A" w:rsidRPr="0086453C" w:rsidRDefault="0021011A" w:rsidP="004D7A01">
            <w:pPr>
              <w:jc w:val="right"/>
              <w:rPr>
                <w:rFonts w:ascii="Bookman Old Style" w:hAnsi="Bookman Old Style" w:cs="Calibri"/>
                <w:b/>
                <w:bCs/>
                <w:color w:val="000000"/>
                <w:sz w:val="20"/>
                <w:szCs w:val="20"/>
                <w:lang w:eastAsia="en-GB"/>
              </w:rPr>
            </w:pPr>
            <w:r w:rsidRPr="0086453C">
              <w:rPr>
                <w:rFonts w:ascii="Bookman Old Style" w:hAnsi="Bookman Old Style" w:cs="Calibri"/>
                <w:b/>
                <w:bCs/>
                <w:color w:val="000000"/>
                <w:sz w:val="20"/>
                <w:szCs w:val="20"/>
                <w:lang w:eastAsia="en-GB"/>
              </w:rPr>
              <w:t>Total debt</w:t>
            </w:r>
          </w:p>
        </w:tc>
      </w:tr>
      <w:tr w:rsidR="0021011A" w:rsidRPr="0086453C" w14:paraId="02290BA9" w14:textId="77777777" w:rsidTr="00B91BE7">
        <w:trPr>
          <w:trHeight w:val="242"/>
        </w:trPr>
        <w:tc>
          <w:tcPr>
            <w:tcW w:w="5125" w:type="dxa"/>
            <w:gridSpan w:val="2"/>
            <w:tcBorders>
              <w:top w:val="single" w:sz="18" w:space="0" w:color="auto"/>
            </w:tcBorders>
            <w:shd w:val="clear" w:color="auto" w:fill="auto"/>
            <w:noWrap/>
            <w:vAlign w:val="bottom"/>
            <w:hideMark/>
          </w:tcPr>
          <w:p w14:paraId="0C45747D" w14:textId="7777777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Amount (in millions of MWK)</w:t>
            </w:r>
          </w:p>
        </w:tc>
        <w:tc>
          <w:tcPr>
            <w:tcW w:w="1440" w:type="dxa"/>
            <w:tcBorders>
              <w:top w:val="single" w:sz="18" w:space="0" w:color="auto"/>
            </w:tcBorders>
            <w:shd w:val="clear" w:color="auto" w:fill="auto"/>
            <w:noWrap/>
            <w:vAlign w:val="bottom"/>
            <w:hideMark/>
          </w:tcPr>
          <w:p w14:paraId="5F92924A" w14:textId="28FB24EC" w:rsidR="0021011A" w:rsidRPr="0086453C" w:rsidRDefault="003D48EF" w:rsidP="003D48EF">
            <w:pPr>
              <w:spacing w:after="0"/>
              <w:rPr>
                <w:rFonts w:ascii="Bookman Old Style" w:hAnsi="Bookman Old Style" w:cs="Calibri"/>
                <w:color w:val="000000"/>
                <w:sz w:val="20"/>
                <w:szCs w:val="20"/>
              </w:rPr>
            </w:pPr>
            <w:r w:rsidRPr="0086453C">
              <w:rPr>
                <w:rFonts w:ascii="Bookman Old Style" w:hAnsi="Bookman Old Style" w:cs="Calibri"/>
                <w:color w:val="000000"/>
                <w:sz w:val="20"/>
                <w:szCs w:val="20"/>
              </w:rPr>
              <w:t>2,108,736.5</w:t>
            </w:r>
          </w:p>
        </w:tc>
        <w:tc>
          <w:tcPr>
            <w:tcW w:w="1440" w:type="dxa"/>
            <w:tcBorders>
              <w:top w:val="single" w:sz="18" w:space="0" w:color="auto"/>
            </w:tcBorders>
            <w:shd w:val="clear" w:color="auto" w:fill="auto"/>
            <w:noWrap/>
            <w:vAlign w:val="bottom"/>
            <w:hideMark/>
          </w:tcPr>
          <w:p w14:paraId="1502F82B" w14:textId="53CE765E" w:rsidR="0021011A" w:rsidRPr="0086453C" w:rsidRDefault="00054FE6" w:rsidP="003D48EF">
            <w:pPr>
              <w:spacing w:after="0"/>
              <w:rPr>
                <w:rFonts w:ascii="Bookman Old Style" w:hAnsi="Bookman Old Style" w:cs="Calibri"/>
                <w:color w:val="000000"/>
                <w:sz w:val="20"/>
                <w:szCs w:val="20"/>
              </w:rPr>
            </w:pPr>
            <w:r w:rsidRPr="0086453C">
              <w:rPr>
                <w:rFonts w:ascii="Bookman Old Style" w:hAnsi="Bookman Old Style" w:cs="Calibri"/>
                <w:color w:val="000000"/>
                <w:sz w:val="20"/>
                <w:szCs w:val="20"/>
              </w:rPr>
              <w:t>2,542,416.0</w:t>
            </w:r>
          </w:p>
        </w:tc>
        <w:tc>
          <w:tcPr>
            <w:tcW w:w="1440" w:type="dxa"/>
            <w:tcBorders>
              <w:top w:val="single" w:sz="18" w:space="0" w:color="auto"/>
            </w:tcBorders>
            <w:shd w:val="clear" w:color="auto" w:fill="auto"/>
            <w:noWrap/>
            <w:vAlign w:val="bottom"/>
            <w:hideMark/>
          </w:tcPr>
          <w:p w14:paraId="2DF74544" w14:textId="483AB5E8" w:rsidR="0021011A" w:rsidRPr="0086453C" w:rsidRDefault="0086453C" w:rsidP="0086453C">
            <w:pPr>
              <w:spacing w:after="0"/>
              <w:jc w:val="right"/>
              <w:rPr>
                <w:rFonts w:ascii="Bookman Old Style" w:hAnsi="Bookman Old Style" w:cs="Calibri"/>
                <w:color w:val="000000"/>
                <w:sz w:val="20"/>
                <w:szCs w:val="20"/>
              </w:rPr>
            </w:pPr>
            <w:r w:rsidRPr="0086453C">
              <w:rPr>
                <w:rFonts w:ascii="Bookman Old Style" w:hAnsi="Bookman Old Style" w:cs="Calibri"/>
                <w:color w:val="000000"/>
                <w:sz w:val="20"/>
                <w:szCs w:val="20"/>
              </w:rPr>
              <w:t>4,651,152.5</w:t>
            </w:r>
          </w:p>
        </w:tc>
      </w:tr>
      <w:tr w:rsidR="0021011A" w:rsidRPr="0086453C" w14:paraId="5AE01D1B" w14:textId="77777777" w:rsidTr="00551FA8">
        <w:trPr>
          <w:trHeight w:val="242"/>
        </w:trPr>
        <w:tc>
          <w:tcPr>
            <w:tcW w:w="5125" w:type="dxa"/>
            <w:gridSpan w:val="2"/>
            <w:shd w:val="clear" w:color="auto" w:fill="auto"/>
            <w:noWrap/>
            <w:vAlign w:val="bottom"/>
            <w:hideMark/>
          </w:tcPr>
          <w:p w14:paraId="7BB11095" w14:textId="7777777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Amount (in millions of USD)</w:t>
            </w:r>
          </w:p>
        </w:tc>
        <w:tc>
          <w:tcPr>
            <w:tcW w:w="1440" w:type="dxa"/>
            <w:shd w:val="clear" w:color="auto" w:fill="auto"/>
            <w:noWrap/>
            <w:vAlign w:val="bottom"/>
            <w:hideMark/>
          </w:tcPr>
          <w:p w14:paraId="52D61B31" w14:textId="1EC5E4AF" w:rsidR="0021011A" w:rsidRPr="0086453C" w:rsidRDefault="0086453C" w:rsidP="0086453C">
            <w:pPr>
              <w:spacing w:after="0"/>
              <w:jc w:val="right"/>
              <w:rPr>
                <w:rFonts w:ascii="Bookman Old Style" w:hAnsi="Bookman Old Style" w:cs="Calibri"/>
                <w:color w:val="000000"/>
                <w:sz w:val="20"/>
                <w:szCs w:val="20"/>
              </w:rPr>
            </w:pPr>
            <w:r w:rsidRPr="0086453C">
              <w:rPr>
                <w:rFonts w:ascii="Bookman Old Style" w:hAnsi="Bookman Old Style" w:cs="Calibri"/>
                <w:color w:val="000000"/>
                <w:sz w:val="20"/>
                <w:szCs w:val="20"/>
              </w:rPr>
              <w:t>2,617.6</w:t>
            </w:r>
          </w:p>
        </w:tc>
        <w:tc>
          <w:tcPr>
            <w:tcW w:w="1440" w:type="dxa"/>
            <w:shd w:val="clear" w:color="auto" w:fill="auto"/>
            <w:noWrap/>
            <w:vAlign w:val="bottom"/>
            <w:hideMark/>
          </w:tcPr>
          <w:p w14:paraId="7ADE0954" w14:textId="085A19C1" w:rsidR="0021011A" w:rsidRPr="0086453C" w:rsidRDefault="0086453C" w:rsidP="0086453C">
            <w:pPr>
              <w:spacing w:after="0"/>
              <w:jc w:val="right"/>
              <w:rPr>
                <w:rFonts w:ascii="Bookman Old Style" w:hAnsi="Bookman Old Style" w:cs="Calibri"/>
                <w:color w:val="000000"/>
                <w:sz w:val="20"/>
                <w:szCs w:val="20"/>
              </w:rPr>
            </w:pPr>
            <w:r w:rsidRPr="0086453C">
              <w:rPr>
                <w:rFonts w:ascii="Bookman Old Style" w:hAnsi="Bookman Old Style" w:cs="Calibri"/>
                <w:color w:val="000000"/>
                <w:sz w:val="20"/>
                <w:szCs w:val="20"/>
              </w:rPr>
              <w:t>3,156.0</w:t>
            </w:r>
          </w:p>
        </w:tc>
        <w:tc>
          <w:tcPr>
            <w:tcW w:w="1440" w:type="dxa"/>
            <w:shd w:val="clear" w:color="auto" w:fill="auto"/>
            <w:noWrap/>
            <w:vAlign w:val="bottom"/>
            <w:hideMark/>
          </w:tcPr>
          <w:p w14:paraId="3318D640" w14:textId="5163CA70" w:rsidR="0021011A" w:rsidRPr="0086453C" w:rsidRDefault="0086453C" w:rsidP="0086453C">
            <w:pPr>
              <w:spacing w:after="0"/>
              <w:jc w:val="right"/>
              <w:rPr>
                <w:rFonts w:ascii="Bookman Old Style" w:hAnsi="Bookman Old Style" w:cs="Calibri"/>
                <w:color w:val="000000"/>
                <w:sz w:val="20"/>
                <w:szCs w:val="20"/>
              </w:rPr>
            </w:pPr>
            <w:r w:rsidRPr="0086453C">
              <w:rPr>
                <w:rFonts w:ascii="Bookman Old Style" w:hAnsi="Bookman Old Style" w:cs="Calibri"/>
                <w:color w:val="000000"/>
                <w:sz w:val="20"/>
                <w:szCs w:val="20"/>
              </w:rPr>
              <w:t>5,773.6</w:t>
            </w:r>
          </w:p>
        </w:tc>
      </w:tr>
      <w:tr w:rsidR="0021011A" w:rsidRPr="0086453C" w14:paraId="1A3FB7C1" w14:textId="77777777" w:rsidTr="00551FA8">
        <w:trPr>
          <w:trHeight w:val="242"/>
        </w:trPr>
        <w:tc>
          <w:tcPr>
            <w:tcW w:w="5125" w:type="dxa"/>
            <w:gridSpan w:val="2"/>
            <w:shd w:val="clear" w:color="auto" w:fill="auto"/>
            <w:noWrap/>
            <w:vAlign w:val="bottom"/>
            <w:hideMark/>
          </w:tcPr>
          <w:p w14:paraId="62C97610" w14:textId="7777777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Nominal debt as percent of GDP</w:t>
            </w:r>
          </w:p>
        </w:tc>
        <w:tc>
          <w:tcPr>
            <w:tcW w:w="1440" w:type="dxa"/>
            <w:shd w:val="clear" w:color="auto" w:fill="auto"/>
            <w:noWrap/>
            <w:vAlign w:val="bottom"/>
            <w:hideMark/>
          </w:tcPr>
          <w:p w14:paraId="65C33B2C" w14:textId="4AD20F8B" w:rsidR="0021011A" w:rsidRPr="0086453C" w:rsidRDefault="0021011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2</w:t>
            </w:r>
            <w:r w:rsidR="006A5EFA" w:rsidRPr="0086453C">
              <w:rPr>
                <w:rFonts w:ascii="Bookman Old Style" w:hAnsi="Bookman Old Style" w:cs="Calibri"/>
                <w:color w:val="000000"/>
                <w:sz w:val="20"/>
                <w:szCs w:val="20"/>
                <w:lang w:eastAsia="en-GB"/>
              </w:rPr>
              <w:t>2.7</w:t>
            </w:r>
          </w:p>
        </w:tc>
        <w:tc>
          <w:tcPr>
            <w:tcW w:w="1440" w:type="dxa"/>
            <w:shd w:val="clear" w:color="auto" w:fill="auto"/>
            <w:noWrap/>
            <w:vAlign w:val="bottom"/>
            <w:hideMark/>
          </w:tcPr>
          <w:p w14:paraId="0DC1EE64" w14:textId="15A7016C"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27.4</w:t>
            </w:r>
          </w:p>
        </w:tc>
        <w:tc>
          <w:tcPr>
            <w:tcW w:w="1440" w:type="dxa"/>
            <w:shd w:val="clear" w:color="auto" w:fill="auto"/>
            <w:noWrap/>
            <w:vAlign w:val="bottom"/>
            <w:hideMark/>
          </w:tcPr>
          <w:p w14:paraId="63E318EA" w14:textId="11687F50"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50.2</w:t>
            </w:r>
          </w:p>
        </w:tc>
      </w:tr>
      <w:tr w:rsidR="0021011A" w:rsidRPr="0086453C" w14:paraId="15CDFECD" w14:textId="77777777" w:rsidTr="00551FA8">
        <w:trPr>
          <w:trHeight w:val="265"/>
        </w:trPr>
        <w:tc>
          <w:tcPr>
            <w:tcW w:w="5125" w:type="dxa"/>
            <w:gridSpan w:val="2"/>
            <w:shd w:val="clear" w:color="auto" w:fill="auto"/>
            <w:noWrap/>
            <w:vAlign w:val="bottom"/>
            <w:hideMark/>
          </w:tcPr>
          <w:p w14:paraId="19792C6D" w14:textId="4BE6B001" w:rsidR="0021011A" w:rsidRPr="0086453C" w:rsidRDefault="0021011A" w:rsidP="004D7A01">
            <w:pPr>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PV as percent of GDP</w:t>
            </w:r>
          </w:p>
        </w:tc>
        <w:tc>
          <w:tcPr>
            <w:tcW w:w="1440" w:type="dxa"/>
            <w:shd w:val="clear" w:color="auto" w:fill="auto"/>
            <w:noWrap/>
            <w:vAlign w:val="bottom"/>
            <w:hideMark/>
          </w:tcPr>
          <w:p w14:paraId="58AA05BF" w14:textId="5FCF24A3"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15.0</w:t>
            </w:r>
          </w:p>
        </w:tc>
        <w:tc>
          <w:tcPr>
            <w:tcW w:w="1440" w:type="dxa"/>
            <w:shd w:val="clear" w:color="auto" w:fill="auto"/>
            <w:noWrap/>
            <w:vAlign w:val="bottom"/>
            <w:hideMark/>
          </w:tcPr>
          <w:p w14:paraId="0DAB5A6A" w14:textId="611EA998"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27.4</w:t>
            </w:r>
          </w:p>
        </w:tc>
        <w:tc>
          <w:tcPr>
            <w:tcW w:w="1440" w:type="dxa"/>
            <w:shd w:val="clear" w:color="auto" w:fill="auto"/>
            <w:noWrap/>
            <w:vAlign w:val="bottom"/>
            <w:hideMark/>
          </w:tcPr>
          <w:p w14:paraId="01B848D0" w14:textId="11ED4BFA"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42.4</w:t>
            </w:r>
          </w:p>
        </w:tc>
      </w:tr>
      <w:tr w:rsidR="0021011A" w:rsidRPr="0086453C" w14:paraId="62D38D83" w14:textId="77777777" w:rsidTr="00551FA8">
        <w:trPr>
          <w:trHeight w:val="265"/>
        </w:trPr>
        <w:tc>
          <w:tcPr>
            <w:tcW w:w="1633" w:type="dxa"/>
            <w:vMerge w:val="restart"/>
            <w:shd w:val="clear" w:color="auto" w:fill="auto"/>
            <w:noWrap/>
            <w:vAlign w:val="center"/>
            <w:hideMark/>
          </w:tcPr>
          <w:p w14:paraId="1AB4AA89" w14:textId="173250ED"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Cost of debt</w:t>
            </w:r>
          </w:p>
        </w:tc>
        <w:tc>
          <w:tcPr>
            <w:tcW w:w="3492" w:type="dxa"/>
            <w:shd w:val="clear" w:color="auto" w:fill="auto"/>
            <w:noWrap/>
            <w:vAlign w:val="bottom"/>
            <w:hideMark/>
          </w:tcPr>
          <w:p w14:paraId="1FFF0CC2" w14:textId="57C30E48" w:rsidR="0021011A" w:rsidRPr="0086453C" w:rsidRDefault="0021011A" w:rsidP="0086453C">
            <w:pPr>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 xml:space="preserve">Interest payment </w:t>
            </w:r>
            <w:r w:rsidR="0086453C" w:rsidRPr="0086453C">
              <w:rPr>
                <w:rFonts w:ascii="Bookman Old Style" w:hAnsi="Bookman Old Style" w:cs="Calibri"/>
                <w:color w:val="000000"/>
                <w:sz w:val="20"/>
                <w:szCs w:val="20"/>
                <w:lang w:eastAsia="en-GB"/>
              </w:rPr>
              <w:t>(%</w:t>
            </w:r>
            <w:r w:rsidRPr="0086453C">
              <w:rPr>
                <w:rFonts w:ascii="Bookman Old Style" w:hAnsi="Bookman Old Style" w:cs="Calibri"/>
                <w:color w:val="000000"/>
                <w:sz w:val="20"/>
                <w:szCs w:val="20"/>
                <w:lang w:eastAsia="en-GB"/>
              </w:rPr>
              <w:t xml:space="preserve"> of GDP</w:t>
            </w:r>
            <w:r w:rsidR="0086453C" w:rsidRPr="0086453C">
              <w:rPr>
                <w:rFonts w:ascii="Bookman Old Style" w:hAnsi="Bookman Old Style" w:cs="Calibri"/>
                <w:color w:val="000000"/>
                <w:sz w:val="20"/>
                <w:szCs w:val="20"/>
                <w:lang w:eastAsia="en-GB"/>
              </w:rPr>
              <w:t>)</w:t>
            </w:r>
          </w:p>
        </w:tc>
        <w:tc>
          <w:tcPr>
            <w:tcW w:w="1440" w:type="dxa"/>
            <w:shd w:val="clear" w:color="auto" w:fill="auto"/>
            <w:noWrap/>
            <w:vAlign w:val="bottom"/>
            <w:hideMark/>
          </w:tcPr>
          <w:p w14:paraId="169930CA" w14:textId="7BB7B894"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0.4</w:t>
            </w:r>
          </w:p>
        </w:tc>
        <w:tc>
          <w:tcPr>
            <w:tcW w:w="1440" w:type="dxa"/>
            <w:shd w:val="clear" w:color="auto" w:fill="auto"/>
            <w:noWrap/>
            <w:vAlign w:val="bottom"/>
            <w:hideMark/>
          </w:tcPr>
          <w:p w14:paraId="0DF185B6" w14:textId="12C4F489"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3.8</w:t>
            </w:r>
          </w:p>
        </w:tc>
        <w:tc>
          <w:tcPr>
            <w:tcW w:w="1440" w:type="dxa"/>
            <w:shd w:val="clear" w:color="auto" w:fill="auto"/>
            <w:noWrap/>
            <w:vAlign w:val="bottom"/>
            <w:hideMark/>
          </w:tcPr>
          <w:p w14:paraId="05A33FCF" w14:textId="30584F82"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4.3</w:t>
            </w:r>
          </w:p>
        </w:tc>
      </w:tr>
      <w:tr w:rsidR="0021011A" w:rsidRPr="0086453C" w14:paraId="1F88EEF3" w14:textId="77777777" w:rsidTr="00551FA8">
        <w:trPr>
          <w:trHeight w:val="249"/>
        </w:trPr>
        <w:tc>
          <w:tcPr>
            <w:tcW w:w="1633" w:type="dxa"/>
            <w:vMerge/>
            <w:vAlign w:val="center"/>
            <w:hideMark/>
          </w:tcPr>
          <w:p w14:paraId="68E8C5F6" w14:textId="77777777" w:rsidR="0021011A" w:rsidRPr="0086453C" w:rsidRDefault="0021011A" w:rsidP="004D7A01">
            <w:pPr>
              <w:rPr>
                <w:rFonts w:ascii="Bookman Old Style" w:hAnsi="Bookman Old Style" w:cs="Calibri"/>
                <w:sz w:val="20"/>
                <w:szCs w:val="20"/>
                <w:lang w:eastAsia="en-GB"/>
              </w:rPr>
            </w:pPr>
          </w:p>
        </w:tc>
        <w:tc>
          <w:tcPr>
            <w:tcW w:w="3492" w:type="dxa"/>
            <w:shd w:val="clear" w:color="auto" w:fill="auto"/>
            <w:noWrap/>
            <w:vAlign w:val="bottom"/>
            <w:hideMark/>
          </w:tcPr>
          <w:p w14:paraId="44FF535F" w14:textId="7E425236" w:rsidR="0021011A" w:rsidRPr="0086453C" w:rsidRDefault="0086453C"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Weighted Av. IR (%</w:t>
            </w:r>
            <w:r w:rsidR="0021011A" w:rsidRPr="0086453C">
              <w:rPr>
                <w:rFonts w:ascii="Bookman Old Style" w:hAnsi="Bookman Old Style" w:cs="Calibri"/>
                <w:sz w:val="20"/>
                <w:szCs w:val="20"/>
                <w:lang w:eastAsia="en-GB"/>
              </w:rPr>
              <w:t>)</w:t>
            </w:r>
          </w:p>
        </w:tc>
        <w:tc>
          <w:tcPr>
            <w:tcW w:w="1440" w:type="dxa"/>
            <w:shd w:val="clear" w:color="auto" w:fill="auto"/>
            <w:noWrap/>
            <w:vAlign w:val="bottom"/>
            <w:hideMark/>
          </w:tcPr>
          <w:p w14:paraId="122E37A9" w14:textId="411782E1"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1.9</w:t>
            </w:r>
          </w:p>
        </w:tc>
        <w:tc>
          <w:tcPr>
            <w:tcW w:w="1440" w:type="dxa"/>
            <w:shd w:val="clear" w:color="auto" w:fill="auto"/>
            <w:noWrap/>
            <w:vAlign w:val="bottom"/>
            <w:hideMark/>
          </w:tcPr>
          <w:p w14:paraId="121A0133" w14:textId="718900C8"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13</w:t>
            </w:r>
            <w:r w:rsidR="0021011A" w:rsidRPr="0086453C">
              <w:rPr>
                <w:rFonts w:ascii="Bookman Old Style" w:hAnsi="Bookman Old Style" w:cs="Calibri"/>
                <w:color w:val="000000"/>
                <w:sz w:val="20"/>
                <w:szCs w:val="20"/>
                <w:lang w:eastAsia="en-GB"/>
              </w:rPr>
              <w:t>.9</w:t>
            </w:r>
          </w:p>
        </w:tc>
        <w:tc>
          <w:tcPr>
            <w:tcW w:w="1440" w:type="dxa"/>
            <w:shd w:val="clear" w:color="auto" w:fill="auto"/>
            <w:noWrap/>
            <w:vAlign w:val="bottom"/>
            <w:hideMark/>
          </w:tcPr>
          <w:p w14:paraId="0AACBADA" w14:textId="3C91A31F"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8</w:t>
            </w:r>
            <w:r w:rsidR="0021011A" w:rsidRPr="0086453C">
              <w:rPr>
                <w:rFonts w:ascii="Bookman Old Style" w:hAnsi="Bookman Old Style" w:cs="Calibri"/>
                <w:color w:val="000000"/>
                <w:sz w:val="20"/>
                <w:szCs w:val="20"/>
                <w:lang w:eastAsia="en-GB"/>
              </w:rPr>
              <w:t>.5</w:t>
            </w:r>
          </w:p>
        </w:tc>
      </w:tr>
      <w:tr w:rsidR="0021011A" w:rsidRPr="0086453C" w14:paraId="0E3D0591" w14:textId="77777777" w:rsidTr="00551FA8">
        <w:trPr>
          <w:trHeight w:val="249"/>
        </w:trPr>
        <w:tc>
          <w:tcPr>
            <w:tcW w:w="1633" w:type="dxa"/>
            <w:vMerge w:val="restart"/>
            <w:shd w:val="clear" w:color="auto" w:fill="auto"/>
            <w:noWrap/>
            <w:vAlign w:val="center"/>
            <w:hideMark/>
          </w:tcPr>
          <w:p w14:paraId="6343AB21" w14:textId="3E6ECAB2"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Refinancing risk</w:t>
            </w:r>
          </w:p>
        </w:tc>
        <w:tc>
          <w:tcPr>
            <w:tcW w:w="3492" w:type="dxa"/>
            <w:shd w:val="clear" w:color="auto" w:fill="auto"/>
            <w:noWrap/>
            <w:vAlign w:val="bottom"/>
            <w:hideMark/>
          </w:tcPr>
          <w:p w14:paraId="3608FC70" w14:textId="7777777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ATM (years)</w:t>
            </w:r>
          </w:p>
        </w:tc>
        <w:tc>
          <w:tcPr>
            <w:tcW w:w="1440" w:type="dxa"/>
            <w:shd w:val="clear" w:color="auto" w:fill="auto"/>
            <w:noWrap/>
            <w:vAlign w:val="bottom"/>
            <w:hideMark/>
          </w:tcPr>
          <w:p w14:paraId="11C91A4D" w14:textId="073E5A38"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13.5</w:t>
            </w:r>
          </w:p>
        </w:tc>
        <w:tc>
          <w:tcPr>
            <w:tcW w:w="1440" w:type="dxa"/>
            <w:shd w:val="clear" w:color="auto" w:fill="auto"/>
            <w:noWrap/>
            <w:vAlign w:val="bottom"/>
            <w:hideMark/>
          </w:tcPr>
          <w:p w14:paraId="6B02A5A1" w14:textId="77777777" w:rsidR="0021011A" w:rsidRPr="0086453C" w:rsidRDefault="0021011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2.7</w:t>
            </w:r>
          </w:p>
        </w:tc>
        <w:tc>
          <w:tcPr>
            <w:tcW w:w="1440" w:type="dxa"/>
            <w:shd w:val="clear" w:color="auto" w:fill="auto"/>
            <w:noWrap/>
            <w:vAlign w:val="bottom"/>
            <w:hideMark/>
          </w:tcPr>
          <w:p w14:paraId="5F991164" w14:textId="3C537D12"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7.8</w:t>
            </w:r>
          </w:p>
        </w:tc>
      </w:tr>
      <w:tr w:rsidR="0021011A" w:rsidRPr="0086453C" w14:paraId="6E4A4C63" w14:textId="77777777" w:rsidTr="00551FA8">
        <w:trPr>
          <w:trHeight w:val="242"/>
        </w:trPr>
        <w:tc>
          <w:tcPr>
            <w:tcW w:w="1633" w:type="dxa"/>
            <w:vMerge/>
            <w:vAlign w:val="center"/>
            <w:hideMark/>
          </w:tcPr>
          <w:p w14:paraId="560B5627" w14:textId="77777777" w:rsidR="0021011A" w:rsidRPr="0086453C" w:rsidRDefault="0021011A" w:rsidP="004D7A01">
            <w:pPr>
              <w:rPr>
                <w:rFonts w:ascii="Bookman Old Style" w:hAnsi="Bookman Old Style" w:cs="Calibri"/>
                <w:sz w:val="20"/>
                <w:szCs w:val="20"/>
                <w:lang w:eastAsia="en-GB"/>
              </w:rPr>
            </w:pPr>
          </w:p>
        </w:tc>
        <w:tc>
          <w:tcPr>
            <w:tcW w:w="3492" w:type="dxa"/>
            <w:shd w:val="clear" w:color="auto" w:fill="auto"/>
            <w:noWrap/>
            <w:vAlign w:val="bottom"/>
            <w:hideMark/>
          </w:tcPr>
          <w:p w14:paraId="0BF50524" w14:textId="736DE09B" w:rsidR="0021011A" w:rsidRPr="0086453C" w:rsidRDefault="0086453C"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Debt maturing in 1yr (%</w:t>
            </w:r>
            <w:r w:rsidR="0021011A" w:rsidRPr="0086453C">
              <w:rPr>
                <w:rFonts w:ascii="Bookman Old Style" w:hAnsi="Bookman Old Style" w:cs="Calibri"/>
                <w:sz w:val="20"/>
                <w:szCs w:val="20"/>
                <w:lang w:eastAsia="en-GB"/>
              </w:rPr>
              <w:t xml:space="preserve"> of total)</w:t>
            </w:r>
          </w:p>
        </w:tc>
        <w:tc>
          <w:tcPr>
            <w:tcW w:w="1440" w:type="dxa"/>
            <w:shd w:val="clear" w:color="auto" w:fill="auto"/>
            <w:noWrap/>
            <w:vAlign w:val="bottom"/>
            <w:hideMark/>
          </w:tcPr>
          <w:p w14:paraId="51D2E9EE" w14:textId="519A6CC1"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5.6</w:t>
            </w:r>
          </w:p>
        </w:tc>
        <w:tc>
          <w:tcPr>
            <w:tcW w:w="1440" w:type="dxa"/>
            <w:shd w:val="clear" w:color="auto" w:fill="auto"/>
            <w:noWrap/>
            <w:vAlign w:val="bottom"/>
            <w:hideMark/>
          </w:tcPr>
          <w:p w14:paraId="23651D9D" w14:textId="3D13A522"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27.2</w:t>
            </w:r>
          </w:p>
        </w:tc>
        <w:tc>
          <w:tcPr>
            <w:tcW w:w="1440" w:type="dxa"/>
            <w:shd w:val="clear" w:color="auto" w:fill="auto"/>
            <w:noWrap/>
            <w:vAlign w:val="bottom"/>
            <w:hideMark/>
          </w:tcPr>
          <w:p w14:paraId="792DD4D1" w14:textId="6F50360D"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17.0</w:t>
            </w:r>
          </w:p>
        </w:tc>
      </w:tr>
      <w:tr w:rsidR="0021011A" w:rsidRPr="0086453C" w14:paraId="30B2C7AA" w14:textId="77777777" w:rsidTr="00551FA8">
        <w:trPr>
          <w:trHeight w:val="249"/>
        </w:trPr>
        <w:tc>
          <w:tcPr>
            <w:tcW w:w="1633" w:type="dxa"/>
            <w:vMerge/>
            <w:vAlign w:val="center"/>
            <w:hideMark/>
          </w:tcPr>
          <w:p w14:paraId="3361528C" w14:textId="77777777" w:rsidR="0021011A" w:rsidRPr="0086453C" w:rsidRDefault="0021011A" w:rsidP="004D7A01">
            <w:pPr>
              <w:rPr>
                <w:rFonts w:ascii="Bookman Old Style" w:hAnsi="Bookman Old Style" w:cs="Calibri"/>
                <w:sz w:val="20"/>
                <w:szCs w:val="20"/>
                <w:lang w:eastAsia="en-GB"/>
              </w:rPr>
            </w:pPr>
          </w:p>
        </w:tc>
        <w:tc>
          <w:tcPr>
            <w:tcW w:w="3492" w:type="dxa"/>
            <w:shd w:val="clear" w:color="auto" w:fill="auto"/>
            <w:noWrap/>
            <w:vAlign w:val="bottom"/>
            <w:hideMark/>
          </w:tcPr>
          <w:p w14:paraId="37A8A3F2" w14:textId="6CEE2E68"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Debt maturi</w:t>
            </w:r>
            <w:r w:rsidR="0086453C" w:rsidRPr="0086453C">
              <w:rPr>
                <w:rFonts w:ascii="Bookman Old Style" w:hAnsi="Bookman Old Style" w:cs="Calibri"/>
                <w:sz w:val="20"/>
                <w:szCs w:val="20"/>
                <w:lang w:eastAsia="en-GB"/>
              </w:rPr>
              <w:t>ng in 1yr (%</w:t>
            </w:r>
            <w:r w:rsidRPr="0086453C">
              <w:rPr>
                <w:rFonts w:ascii="Bookman Old Style" w:hAnsi="Bookman Old Style" w:cs="Calibri"/>
                <w:sz w:val="20"/>
                <w:szCs w:val="20"/>
                <w:lang w:eastAsia="en-GB"/>
              </w:rPr>
              <w:t xml:space="preserve"> of GDP)</w:t>
            </w:r>
          </w:p>
        </w:tc>
        <w:tc>
          <w:tcPr>
            <w:tcW w:w="1440" w:type="dxa"/>
            <w:shd w:val="clear" w:color="auto" w:fill="auto"/>
            <w:noWrap/>
            <w:vAlign w:val="bottom"/>
            <w:hideMark/>
          </w:tcPr>
          <w:p w14:paraId="5BA641A5" w14:textId="277F4B14"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1.4</w:t>
            </w:r>
          </w:p>
        </w:tc>
        <w:tc>
          <w:tcPr>
            <w:tcW w:w="1440" w:type="dxa"/>
            <w:shd w:val="clear" w:color="auto" w:fill="auto"/>
            <w:noWrap/>
            <w:vAlign w:val="bottom"/>
            <w:hideMark/>
          </w:tcPr>
          <w:p w14:paraId="143142C4" w14:textId="0CEED9E4"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7.5</w:t>
            </w:r>
          </w:p>
        </w:tc>
        <w:tc>
          <w:tcPr>
            <w:tcW w:w="1440" w:type="dxa"/>
            <w:shd w:val="clear" w:color="auto" w:fill="auto"/>
            <w:noWrap/>
            <w:vAlign w:val="bottom"/>
            <w:hideMark/>
          </w:tcPr>
          <w:p w14:paraId="40DB1B4A" w14:textId="677F9726"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8.9</w:t>
            </w:r>
          </w:p>
        </w:tc>
      </w:tr>
      <w:tr w:rsidR="0021011A" w:rsidRPr="0086453C" w14:paraId="26C5818F" w14:textId="77777777" w:rsidTr="00551FA8">
        <w:trPr>
          <w:trHeight w:val="249"/>
        </w:trPr>
        <w:tc>
          <w:tcPr>
            <w:tcW w:w="1633" w:type="dxa"/>
            <w:vMerge w:val="restart"/>
            <w:shd w:val="clear" w:color="auto" w:fill="auto"/>
            <w:noWrap/>
            <w:vAlign w:val="center"/>
            <w:hideMark/>
          </w:tcPr>
          <w:p w14:paraId="55A2A02B" w14:textId="11FDA21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Interest rate risk</w:t>
            </w:r>
          </w:p>
        </w:tc>
        <w:tc>
          <w:tcPr>
            <w:tcW w:w="3492" w:type="dxa"/>
            <w:shd w:val="clear" w:color="auto" w:fill="auto"/>
            <w:noWrap/>
            <w:vAlign w:val="bottom"/>
            <w:hideMark/>
          </w:tcPr>
          <w:p w14:paraId="5AE78289" w14:textId="7777777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ATR (years)</w:t>
            </w:r>
          </w:p>
        </w:tc>
        <w:tc>
          <w:tcPr>
            <w:tcW w:w="1440" w:type="dxa"/>
            <w:shd w:val="clear" w:color="auto" w:fill="auto"/>
            <w:noWrap/>
            <w:vAlign w:val="bottom"/>
            <w:hideMark/>
          </w:tcPr>
          <w:p w14:paraId="7E87B7B4" w14:textId="442EF3CA"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13.5</w:t>
            </w:r>
          </w:p>
        </w:tc>
        <w:tc>
          <w:tcPr>
            <w:tcW w:w="1440" w:type="dxa"/>
            <w:shd w:val="clear" w:color="auto" w:fill="auto"/>
            <w:noWrap/>
            <w:vAlign w:val="bottom"/>
            <w:hideMark/>
          </w:tcPr>
          <w:p w14:paraId="379F70D9" w14:textId="77777777" w:rsidR="0021011A" w:rsidRPr="0086453C" w:rsidRDefault="0021011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2.7</w:t>
            </w:r>
          </w:p>
        </w:tc>
        <w:tc>
          <w:tcPr>
            <w:tcW w:w="1440" w:type="dxa"/>
            <w:shd w:val="clear" w:color="auto" w:fill="auto"/>
            <w:noWrap/>
            <w:vAlign w:val="bottom"/>
            <w:hideMark/>
          </w:tcPr>
          <w:p w14:paraId="7AB9036E" w14:textId="4F083905"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7.8</w:t>
            </w:r>
          </w:p>
        </w:tc>
      </w:tr>
      <w:tr w:rsidR="0021011A" w:rsidRPr="0086453C" w14:paraId="1E1EAE3C" w14:textId="77777777" w:rsidTr="00551FA8">
        <w:trPr>
          <w:trHeight w:val="242"/>
        </w:trPr>
        <w:tc>
          <w:tcPr>
            <w:tcW w:w="1633" w:type="dxa"/>
            <w:vMerge/>
            <w:vAlign w:val="center"/>
            <w:hideMark/>
          </w:tcPr>
          <w:p w14:paraId="02080253" w14:textId="77777777" w:rsidR="0021011A" w:rsidRPr="0086453C" w:rsidRDefault="0021011A" w:rsidP="004D7A01">
            <w:pPr>
              <w:rPr>
                <w:rFonts w:ascii="Bookman Old Style" w:hAnsi="Bookman Old Style" w:cs="Calibri"/>
                <w:sz w:val="20"/>
                <w:szCs w:val="20"/>
                <w:lang w:eastAsia="en-GB"/>
              </w:rPr>
            </w:pPr>
          </w:p>
        </w:tc>
        <w:tc>
          <w:tcPr>
            <w:tcW w:w="3492" w:type="dxa"/>
            <w:shd w:val="clear" w:color="auto" w:fill="auto"/>
            <w:noWrap/>
            <w:vAlign w:val="bottom"/>
            <w:hideMark/>
          </w:tcPr>
          <w:p w14:paraId="084DE68C" w14:textId="642F1E53" w:rsidR="0021011A" w:rsidRPr="0086453C" w:rsidRDefault="0086453C"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Debt refixing in 1yr (%</w:t>
            </w:r>
            <w:r w:rsidR="0021011A" w:rsidRPr="0086453C">
              <w:rPr>
                <w:rFonts w:ascii="Bookman Old Style" w:hAnsi="Bookman Old Style" w:cs="Calibri"/>
                <w:sz w:val="20"/>
                <w:szCs w:val="20"/>
                <w:lang w:eastAsia="en-GB"/>
              </w:rPr>
              <w:t xml:space="preserve"> of total)</w:t>
            </w:r>
          </w:p>
        </w:tc>
        <w:tc>
          <w:tcPr>
            <w:tcW w:w="1440" w:type="dxa"/>
            <w:shd w:val="clear" w:color="auto" w:fill="auto"/>
            <w:noWrap/>
            <w:vAlign w:val="bottom"/>
            <w:hideMark/>
          </w:tcPr>
          <w:p w14:paraId="2F924BC6" w14:textId="24524659"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5.6</w:t>
            </w:r>
          </w:p>
        </w:tc>
        <w:tc>
          <w:tcPr>
            <w:tcW w:w="1440" w:type="dxa"/>
            <w:shd w:val="clear" w:color="auto" w:fill="auto"/>
            <w:noWrap/>
            <w:vAlign w:val="bottom"/>
            <w:hideMark/>
          </w:tcPr>
          <w:p w14:paraId="1A71BD45" w14:textId="136DF1B4"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27.2</w:t>
            </w:r>
          </w:p>
        </w:tc>
        <w:tc>
          <w:tcPr>
            <w:tcW w:w="1440" w:type="dxa"/>
            <w:shd w:val="clear" w:color="auto" w:fill="auto"/>
            <w:noWrap/>
            <w:vAlign w:val="bottom"/>
            <w:hideMark/>
          </w:tcPr>
          <w:p w14:paraId="1876BC33" w14:textId="7EBD40AD"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17.0</w:t>
            </w:r>
          </w:p>
        </w:tc>
      </w:tr>
      <w:tr w:rsidR="0021011A" w:rsidRPr="0086453C" w14:paraId="5A4A865F" w14:textId="77777777" w:rsidTr="00551FA8">
        <w:trPr>
          <w:trHeight w:val="242"/>
        </w:trPr>
        <w:tc>
          <w:tcPr>
            <w:tcW w:w="1633" w:type="dxa"/>
            <w:vMerge/>
            <w:vAlign w:val="center"/>
            <w:hideMark/>
          </w:tcPr>
          <w:p w14:paraId="1A0EEA63" w14:textId="77777777" w:rsidR="0021011A" w:rsidRPr="0086453C" w:rsidRDefault="0021011A" w:rsidP="004D7A01">
            <w:pPr>
              <w:rPr>
                <w:rFonts w:ascii="Bookman Old Style" w:hAnsi="Bookman Old Style" w:cs="Calibri"/>
                <w:sz w:val="20"/>
                <w:szCs w:val="20"/>
                <w:lang w:eastAsia="en-GB"/>
              </w:rPr>
            </w:pPr>
          </w:p>
        </w:tc>
        <w:tc>
          <w:tcPr>
            <w:tcW w:w="3492" w:type="dxa"/>
            <w:shd w:val="clear" w:color="auto" w:fill="auto"/>
            <w:noWrap/>
            <w:vAlign w:val="bottom"/>
            <w:hideMark/>
          </w:tcPr>
          <w:p w14:paraId="494284BC" w14:textId="7336B32C"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Fixed</w:t>
            </w:r>
            <w:r w:rsidR="0086453C" w:rsidRPr="0086453C">
              <w:rPr>
                <w:rFonts w:ascii="Bookman Old Style" w:hAnsi="Bookman Old Style" w:cs="Calibri"/>
                <w:sz w:val="20"/>
                <w:szCs w:val="20"/>
                <w:lang w:eastAsia="en-GB"/>
              </w:rPr>
              <w:t xml:space="preserve"> rate debt incl T-bills (%</w:t>
            </w:r>
            <w:r w:rsidRPr="0086453C">
              <w:rPr>
                <w:rFonts w:ascii="Bookman Old Style" w:hAnsi="Bookman Old Style" w:cs="Calibri"/>
                <w:sz w:val="20"/>
                <w:szCs w:val="20"/>
                <w:lang w:eastAsia="en-GB"/>
              </w:rPr>
              <w:t xml:space="preserve"> of total)</w:t>
            </w:r>
          </w:p>
        </w:tc>
        <w:tc>
          <w:tcPr>
            <w:tcW w:w="1440" w:type="dxa"/>
            <w:shd w:val="clear" w:color="auto" w:fill="auto"/>
            <w:noWrap/>
            <w:vAlign w:val="bottom"/>
            <w:hideMark/>
          </w:tcPr>
          <w:p w14:paraId="17EAFB4D" w14:textId="77777777" w:rsidR="0021011A" w:rsidRPr="0086453C" w:rsidRDefault="0021011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100.0</w:t>
            </w:r>
          </w:p>
        </w:tc>
        <w:tc>
          <w:tcPr>
            <w:tcW w:w="1440" w:type="dxa"/>
            <w:shd w:val="clear" w:color="auto" w:fill="auto"/>
            <w:noWrap/>
            <w:vAlign w:val="bottom"/>
            <w:hideMark/>
          </w:tcPr>
          <w:p w14:paraId="2CB7706C" w14:textId="77777777" w:rsidR="0021011A" w:rsidRPr="0086453C" w:rsidRDefault="0021011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100.0</w:t>
            </w:r>
          </w:p>
        </w:tc>
        <w:tc>
          <w:tcPr>
            <w:tcW w:w="1440" w:type="dxa"/>
            <w:shd w:val="clear" w:color="auto" w:fill="auto"/>
            <w:noWrap/>
            <w:vAlign w:val="bottom"/>
            <w:hideMark/>
          </w:tcPr>
          <w:p w14:paraId="1460A299" w14:textId="77777777" w:rsidR="0021011A" w:rsidRPr="0086453C" w:rsidRDefault="0021011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100.0</w:t>
            </w:r>
          </w:p>
        </w:tc>
      </w:tr>
      <w:tr w:rsidR="0021011A" w:rsidRPr="0086453C" w14:paraId="630EDAE7" w14:textId="77777777" w:rsidTr="00551FA8">
        <w:trPr>
          <w:trHeight w:val="249"/>
        </w:trPr>
        <w:tc>
          <w:tcPr>
            <w:tcW w:w="1633" w:type="dxa"/>
            <w:vMerge w:val="restart"/>
            <w:shd w:val="clear" w:color="auto" w:fill="auto"/>
            <w:noWrap/>
            <w:vAlign w:val="center"/>
            <w:hideMark/>
          </w:tcPr>
          <w:p w14:paraId="6E1AA9A0" w14:textId="77777777" w:rsidR="0086453C" w:rsidRDefault="0086453C" w:rsidP="004D7A01">
            <w:pPr>
              <w:rPr>
                <w:rFonts w:ascii="Bookman Old Style" w:hAnsi="Bookman Old Style" w:cs="Calibri"/>
                <w:color w:val="000000"/>
                <w:sz w:val="20"/>
                <w:szCs w:val="20"/>
                <w:lang w:eastAsia="en-GB"/>
              </w:rPr>
            </w:pPr>
          </w:p>
          <w:p w14:paraId="72C4E606" w14:textId="71E4B5AD" w:rsidR="0021011A" w:rsidRPr="0086453C" w:rsidRDefault="0021011A" w:rsidP="004D7A01">
            <w:pPr>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FX risk</w:t>
            </w:r>
          </w:p>
        </w:tc>
        <w:tc>
          <w:tcPr>
            <w:tcW w:w="3492" w:type="dxa"/>
            <w:shd w:val="clear" w:color="auto" w:fill="auto"/>
            <w:noWrap/>
            <w:vAlign w:val="bottom"/>
            <w:hideMark/>
          </w:tcPr>
          <w:p w14:paraId="06B95C69" w14:textId="3CC554DC" w:rsidR="0021011A" w:rsidRPr="0086453C" w:rsidRDefault="0086453C"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 xml:space="preserve">FX </w:t>
            </w:r>
            <w:proofErr w:type="gramStart"/>
            <w:r w:rsidRPr="0086453C">
              <w:rPr>
                <w:rFonts w:ascii="Bookman Old Style" w:hAnsi="Bookman Old Style" w:cs="Calibri"/>
                <w:sz w:val="20"/>
                <w:szCs w:val="20"/>
                <w:lang w:eastAsia="en-GB"/>
              </w:rPr>
              <w:t>debt  (</w:t>
            </w:r>
            <w:proofErr w:type="gramEnd"/>
            <w:r w:rsidRPr="0086453C">
              <w:rPr>
                <w:rFonts w:ascii="Bookman Old Style" w:hAnsi="Bookman Old Style" w:cs="Calibri"/>
                <w:sz w:val="20"/>
                <w:szCs w:val="20"/>
                <w:lang w:eastAsia="en-GB"/>
              </w:rPr>
              <w:t>%</w:t>
            </w:r>
            <w:r w:rsidR="0021011A" w:rsidRPr="0086453C">
              <w:rPr>
                <w:rFonts w:ascii="Bookman Old Style" w:hAnsi="Bookman Old Style" w:cs="Calibri"/>
                <w:sz w:val="20"/>
                <w:szCs w:val="20"/>
                <w:lang w:eastAsia="en-GB"/>
              </w:rPr>
              <w:t xml:space="preserve"> of total debt)</w:t>
            </w:r>
          </w:p>
        </w:tc>
        <w:tc>
          <w:tcPr>
            <w:tcW w:w="1440" w:type="dxa"/>
            <w:shd w:val="clear" w:color="auto" w:fill="auto"/>
            <w:noWrap/>
            <w:vAlign w:val="bottom"/>
            <w:hideMark/>
          </w:tcPr>
          <w:p w14:paraId="101ACEBC" w14:textId="7777777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 </w:t>
            </w:r>
          </w:p>
        </w:tc>
        <w:tc>
          <w:tcPr>
            <w:tcW w:w="1440" w:type="dxa"/>
            <w:shd w:val="clear" w:color="auto" w:fill="auto"/>
            <w:noWrap/>
            <w:vAlign w:val="bottom"/>
            <w:hideMark/>
          </w:tcPr>
          <w:p w14:paraId="6F79CAAD" w14:textId="77777777" w:rsidR="0021011A" w:rsidRPr="0086453C" w:rsidRDefault="0021011A" w:rsidP="004D7A01">
            <w:pPr>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 </w:t>
            </w:r>
          </w:p>
        </w:tc>
        <w:tc>
          <w:tcPr>
            <w:tcW w:w="1440" w:type="dxa"/>
            <w:shd w:val="clear" w:color="auto" w:fill="auto"/>
            <w:noWrap/>
            <w:vAlign w:val="bottom"/>
            <w:hideMark/>
          </w:tcPr>
          <w:p w14:paraId="2E613A85" w14:textId="74CD645A"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45.3</w:t>
            </w:r>
          </w:p>
        </w:tc>
      </w:tr>
      <w:tr w:rsidR="0021011A" w:rsidRPr="0086453C" w14:paraId="4BAB2B7A" w14:textId="77777777" w:rsidTr="00551FA8">
        <w:trPr>
          <w:trHeight w:val="225"/>
        </w:trPr>
        <w:tc>
          <w:tcPr>
            <w:tcW w:w="1633" w:type="dxa"/>
            <w:vMerge/>
            <w:vAlign w:val="center"/>
            <w:hideMark/>
          </w:tcPr>
          <w:p w14:paraId="4BF0C0E9" w14:textId="77777777" w:rsidR="0021011A" w:rsidRPr="0086453C" w:rsidRDefault="0021011A" w:rsidP="004D7A01">
            <w:pPr>
              <w:rPr>
                <w:rFonts w:ascii="Bookman Old Style" w:hAnsi="Bookman Old Style" w:cs="Calibri"/>
                <w:color w:val="000000"/>
                <w:sz w:val="20"/>
                <w:szCs w:val="20"/>
                <w:lang w:eastAsia="en-GB"/>
              </w:rPr>
            </w:pPr>
          </w:p>
        </w:tc>
        <w:tc>
          <w:tcPr>
            <w:tcW w:w="3492" w:type="dxa"/>
            <w:shd w:val="clear" w:color="auto" w:fill="auto"/>
            <w:noWrap/>
            <w:vAlign w:val="bottom"/>
            <w:hideMark/>
          </w:tcPr>
          <w:p w14:paraId="6E25812F" w14:textId="4B6CCC27" w:rsidR="0021011A" w:rsidRPr="0086453C" w:rsidRDefault="0086453C"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 xml:space="preserve">ST </w:t>
            </w:r>
            <w:proofErr w:type="gramStart"/>
            <w:r w:rsidRPr="0086453C">
              <w:rPr>
                <w:rFonts w:ascii="Bookman Old Style" w:hAnsi="Bookman Old Style" w:cs="Calibri"/>
                <w:sz w:val="20"/>
                <w:szCs w:val="20"/>
                <w:lang w:eastAsia="en-GB"/>
              </w:rPr>
              <w:t>FX  debt</w:t>
            </w:r>
            <w:proofErr w:type="gramEnd"/>
            <w:r w:rsidRPr="0086453C">
              <w:rPr>
                <w:rFonts w:ascii="Bookman Old Style" w:hAnsi="Bookman Old Style" w:cs="Calibri"/>
                <w:sz w:val="20"/>
                <w:szCs w:val="20"/>
                <w:lang w:eastAsia="en-GB"/>
              </w:rPr>
              <w:t xml:space="preserve"> (%</w:t>
            </w:r>
            <w:r w:rsidR="0021011A" w:rsidRPr="0086453C">
              <w:rPr>
                <w:rFonts w:ascii="Bookman Old Style" w:hAnsi="Bookman Old Style" w:cs="Calibri"/>
                <w:sz w:val="20"/>
                <w:szCs w:val="20"/>
                <w:lang w:eastAsia="en-GB"/>
              </w:rPr>
              <w:t xml:space="preserve"> of reserves)</w:t>
            </w:r>
          </w:p>
        </w:tc>
        <w:tc>
          <w:tcPr>
            <w:tcW w:w="1440" w:type="dxa"/>
            <w:shd w:val="clear" w:color="auto" w:fill="auto"/>
            <w:noWrap/>
            <w:vAlign w:val="bottom"/>
            <w:hideMark/>
          </w:tcPr>
          <w:p w14:paraId="2FD9E069" w14:textId="77777777" w:rsidR="0021011A" w:rsidRPr="0086453C" w:rsidRDefault="0021011A" w:rsidP="004D7A01">
            <w:pPr>
              <w:rPr>
                <w:rFonts w:ascii="Bookman Old Style" w:hAnsi="Bookman Old Style" w:cs="Calibri"/>
                <w:sz w:val="20"/>
                <w:szCs w:val="20"/>
                <w:lang w:eastAsia="en-GB"/>
              </w:rPr>
            </w:pPr>
            <w:r w:rsidRPr="0086453C">
              <w:rPr>
                <w:rFonts w:ascii="Bookman Old Style" w:hAnsi="Bookman Old Style" w:cs="Calibri"/>
                <w:sz w:val="20"/>
                <w:szCs w:val="20"/>
                <w:lang w:eastAsia="en-GB"/>
              </w:rPr>
              <w:t> </w:t>
            </w:r>
          </w:p>
        </w:tc>
        <w:tc>
          <w:tcPr>
            <w:tcW w:w="1440" w:type="dxa"/>
            <w:shd w:val="clear" w:color="auto" w:fill="auto"/>
            <w:noWrap/>
            <w:vAlign w:val="bottom"/>
            <w:hideMark/>
          </w:tcPr>
          <w:p w14:paraId="5482EB31" w14:textId="77777777" w:rsidR="0021011A" w:rsidRPr="0086453C" w:rsidRDefault="0021011A" w:rsidP="004D7A01">
            <w:pPr>
              <w:jc w:val="center"/>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 </w:t>
            </w:r>
          </w:p>
        </w:tc>
        <w:tc>
          <w:tcPr>
            <w:tcW w:w="1440" w:type="dxa"/>
            <w:shd w:val="clear" w:color="auto" w:fill="auto"/>
            <w:noWrap/>
            <w:vAlign w:val="bottom"/>
            <w:hideMark/>
          </w:tcPr>
          <w:p w14:paraId="3D85A8D8" w14:textId="22E42FC7" w:rsidR="0021011A" w:rsidRPr="0086453C" w:rsidRDefault="006A5EFA" w:rsidP="004D7A01">
            <w:pPr>
              <w:jc w:val="right"/>
              <w:rPr>
                <w:rFonts w:ascii="Bookman Old Style" w:hAnsi="Bookman Old Style" w:cs="Calibri"/>
                <w:color w:val="000000"/>
                <w:sz w:val="20"/>
                <w:szCs w:val="20"/>
                <w:lang w:eastAsia="en-GB"/>
              </w:rPr>
            </w:pPr>
            <w:r w:rsidRPr="0086453C">
              <w:rPr>
                <w:rFonts w:ascii="Bookman Old Style" w:hAnsi="Bookman Old Style" w:cs="Calibri"/>
                <w:color w:val="000000"/>
                <w:sz w:val="20"/>
                <w:szCs w:val="20"/>
                <w:lang w:eastAsia="en-GB"/>
              </w:rPr>
              <w:t>8.0</w:t>
            </w:r>
          </w:p>
        </w:tc>
      </w:tr>
    </w:tbl>
    <w:bookmarkEnd w:id="1"/>
    <w:bookmarkEnd w:id="41"/>
    <w:p w14:paraId="733E604B" w14:textId="50555278" w:rsidR="0021011A" w:rsidRPr="00BB24AF" w:rsidRDefault="00551FA8" w:rsidP="00343666">
      <w:pPr>
        <w:spacing w:before="240" w:line="360" w:lineRule="auto"/>
        <w:rPr>
          <w:rFonts w:ascii="Bookman Old Style" w:hAnsi="Bookman Old Style"/>
          <w:lang w:val="en-US"/>
        </w:rPr>
        <w:sectPr w:rsidR="0021011A" w:rsidRPr="00BB24AF" w:rsidSect="00807C0D">
          <w:headerReference w:type="even" r:id="rId25"/>
          <w:headerReference w:type="default" r:id="rId26"/>
          <w:footerReference w:type="even" r:id="rId27"/>
          <w:footerReference w:type="default" r:id="rId28"/>
          <w:headerReference w:type="first" r:id="rId29"/>
          <w:pgSz w:w="11906" w:h="16838"/>
          <w:pgMar w:top="270" w:right="1440" w:bottom="360" w:left="1440" w:header="706" w:footer="706" w:gutter="0"/>
          <w:cols w:space="708"/>
          <w:docGrid w:linePitch="360"/>
        </w:sectPr>
      </w:pPr>
      <w:r>
        <w:rPr>
          <w:rFonts w:ascii="Bookman Old Style" w:hAnsi="Bookman Old Style"/>
          <w:lang w:val="en-US"/>
        </w:rPr>
        <w:t>Source: MoF staff calculations</w:t>
      </w:r>
    </w:p>
    <w:p w14:paraId="27BEC25F" w14:textId="2567FE9F" w:rsidR="007A214F" w:rsidRDefault="007A214F" w:rsidP="00BB24AF"/>
    <w:p w14:paraId="3B011CC7" w14:textId="30424F04" w:rsidR="0021011A" w:rsidRPr="007A214F" w:rsidRDefault="007A214F" w:rsidP="007A214F">
      <w:pPr>
        <w:pStyle w:val="Caption"/>
        <w:keepNext/>
        <w:jc w:val="both"/>
        <w:rPr>
          <w:rFonts w:ascii="Bookman Old Style" w:hAnsi="Bookman Old Style"/>
          <w:sz w:val="24"/>
          <w:szCs w:val="24"/>
        </w:rPr>
      </w:pPr>
      <w:bookmarkStart w:id="69" w:name="_Toc88660963"/>
      <w:r w:rsidRPr="007A214F">
        <w:rPr>
          <w:rFonts w:ascii="Bookman Old Style" w:hAnsi="Bookman Old Style"/>
          <w:sz w:val="24"/>
          <w:szCs w:val="24"/>
        </w:rPr>
        <w:t xml:space="preserve">Annex </w:t>
      </w:r>
      <w:r w:rsidRPr="007A214F">
        <w:rPr>
          <w:rFonts w:ascii="Bookman Old Style" w:hAnsi="Bookman Old Style"/>
          <w:sz w:val="24"/>
          <w:szCs w:val="24"/>
        </w:rPr>
        <w:fldChar w:fldCharType="begin"/>
      </w:r>
      <w:r w:rsidRPr="007A214F">
        <w:rPr>
          <w:rFonts w:ascii="Bookman Old Style" w:hAnsi="Bookman Old Style"/>
          <w:sz w:val="24"/>
          <w:szCs w:val="24"/>
        </w:rPr>
        <w:instrText xml:space="preserve"> SEQ Annex \* ARABIC </w:instrText>
      </w:r>
      <w:r w:rsidRPr="007A214F">
        <w:rPr>
          <w:rFonts w:ascii="Bookman Old Style" w:hAnsi="Bookman Old Style"/>
          <w:sz w:val="24"/>
          <w:szCs w:val="24"/>
        </w:rPr>
        <w:fldChar w:fldCharType="separate"/>
      </w:r>
      <w:r w:rsidR="00924FE2">
        <w:rPr>
          <w:rFonts w:ascii="Bookman Old Style" w:hAnsi="Bookman Old Style"/>
          <w:noProof/>
          <w:sz w:val="24"/>
          <w:szCs w:val="24"/>
        </w:rPr>
        <w:t>1</w:t>
      </w:r>
      <w:r w:rsidRPr="007A214F">
        <w:rPr>
          <w:rFonts w:ascii="Bookman Old Style" w:hAnsi="Bookman Old Style"/>
          <w:sz w:val="24"/>
          <w:szCs w:val="24"/>
        </w:rPr>
        <w:fldChar w:fldCharType="end"/>
      </w:r>
      <w:r w:rsidRPr="007A214F">
        <w:rPr>
          <w:rFonts w:ascii="Bookman Old Style" w:hAnsi="Bookman Old Style"/>
          <w:sz w:val="24"/>
          <w:szCs w:val="24"/>
        </w:rPr>
        <w:t>: Newly Signed Loans as at end-June 2021</w:t>
      </w:r>
      <w:bookmarkEnd w:id="69"/>
    </w:p>
    <w:tbl>
      <w:tblPr>
        <w:tblW w:w="14667" w:type="dxa"/>
        <w:tblLayout w:type="fixed"/>
        <w:tblLook w:val="04A0" w:firstRow="1" w:lastRow="0" w:firstColumn="1" w:lastColumn="0" w:noHBand="0" w:noVBand="1"/>
      </w:tblPr>
      <w:tblGrid>
        <w:gridCol w:w="2970"/>
        <w:gridCol w:w="900"/>
        <w:gridCol w:w="180"/>
        <w:gridCol w:w="1350"/>
        <w:gridCol w:w="1260"/>
        <w:gridCol w:w="1620"/>
        <w:gridCol w:w="1116"/>
        <w:gridCol w:w="1709"/>
        <w:gridCol w:w="1314"/>
        <w:gridCol w:w="983"/>
        <w:gridCol w:w="1265"/>
      </w:tblGrid>
      <w:tr w:rsidR="00201AA1" w:rsidRPr="005D5005" w14:paraId="46BB12D7" w14:textId="77777777" w:rsidTr="00B91BE7">
        <w:trPr>
          <w:trHeight w:val="681"/>
        </w:trPr>
        <w:tc>
          <w:tcPr>
            <w:tcW w:w="2970" w:type="dxa"/>
            <w:tcBorders>
              <w:top w:val="single" w:sz="18" w:space="0" w:color="auto"/>
              <w:left w:val="single" w:sz="18" w:space="0" w:color="auto"/>
              <w:bottom w:val="single" w:sz="18" w:space="0" w:color="auto"/>
            </w:tcBorders>
            <w:shd w:val="clear" w:color="auto" w:fill="B3D5AB" w:themeFill="accent4" w:themeFillTint="66"/>
            <w:vAlign w:val="bottom"/>
            <w:hideMark/>
          </w:tcPr>
          <w:p w14:paraId="33E71431" w14:textId="65EBC32A" w:rsidR="00D764C0" w:rsidRPr="005D5005" w:rsidRDefault="00D764C0" w:rsidP="005D5005">
            <w:pPr>
              <w:spacing w:after="0" w:line="360" w:lineRule="auto"/>
              <w:jc w:val="left"/>
              <w:rPr>
                <w:rFonts w:ascii="Bookman Old Style" w:hAnsi="Bookman Old Style"/>
                <w:b/>
                <w:bCs/>
                <w:color w:val="000000"/>
                <w:sz w:val="18"/>
                <w:szCs w:val="18"/>
                <w:lang w:eastAsia="en-GB"/>
              </w:rPr>
            </w:pPr>
            <w:bookmarkStart w:id="70" w:name="RANGE!A2:J12"/>
            <w:r w:rsidRPr="005D5005">
              <w:rPr>
                <w:rFonts w:ascii="Bookman Old Style" w:hAnsi="Bookman Old Style"/>
                <w:b/>
                <w:bCs/>
                <w:color w:val="000000"/>
                <w:sz w:val="18"/>
                <w:szCs w:val="18"/>
                <w:lang w:eastAsia="en-GB"/>
              </w:rPr>
              <w:t>L</w:t>
            </w:r>
            <w:bookmarkEnd w:id="70"/>
            <w:r w:rsidR="00436470">
              <w:rPr>
                <w:rFonts w:ascii="Bookman Old Style" w:hAnsi="Bookman Old Style"/>
                <w:b/>
                <w:bCs/>
                <w:color w:val="000000"/>
                <w:sz w:val="18"/>
                <w:szCs w:val="18"/>
                <w:lang w:eastAsia="en-GB"/>
              </w:rPr>
              <w:t>oan</w:t>
            </w:r>
          </w:p>
        </w:tc>
        <w:tc>
          <w:tcPr>
            <w:tcW w:w="1080" w:type="dxa"/>
            <w:gridSpan w:val="2"/>
            <w:tcBorders>
              <w:top w:val="single" w:sz="18" w:space="0" w:color="auto"/>
              <w:bottom w:val="single" w:sz="18" w:space="0" w:color="auto"/>
            </w:tcBorders>
            <w:shd w:val="clear" w:color="auto" w:fill="B3D5AB" w:themeFill="accent4" w:themeFillTint="66"/>
            <w:vAlign w:val="bottom"/>
            <w:hideMark/>
          </w:tcPr>
          <w:p w14:paraId="42FE5AF2" w14:textId="4BA9C4AE" w:rsidR="00D764C0" w:rsidRPr="005D5005" w:rsidRDefault="00436470" w:rsidP="005D5005">
            <w:pPr>
              <w:spacing w:after="0" w:line="360" w:lineRule="auto"/>
              <w:jc w:val="left"/>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Creditor</w:t>
            </w:r>
          </w:p>
        </w:tc>
        <w:tc>
          <w:tcPr>
            <w:tcW w:w="1350" w:type="dxa"/>
            <w:tcBorders>
              <w:top w:val="single" w:sz="18" w:space="0" w:color="auto"/>
              <w:bottom w:val="single" w:sz="18" w:space="0" w:color="auto"/>
            </w:tcBorders>
            <w:shd w:val="clear" w:color="auto" w:fill="B3D5AB" w:themeFill="accent4" w:themeFillTint="66"/>
            <w:vAlign w:val="bottom"/>
            <w:hideMark/>
          </w:tcPr>
          <w:p w14:paraId="32F3DC58" w14:textId="6939506D" w:rsidR="00D764C0" w:rsidRPr="005D5005" w:rsidRDefault="00436470" w:rsidP="005D5005">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Signing Date</w:t>
            </w:r>
          </w:p>
        </w:tc>
        <w:tc>
          <w:tcPr>
            <w:tcW w:w="1260" w:type="dxa"/>
            <w:tcBorders>
              <w:top w:val="single" w:sz="18" w:space="0" w:color="auto"/>
              <w:bottom w:val="single" w:sz="18" w:space="0" w:color="auto"/>
            </w:tcBorders>
            <w:shd w:val="clear" w:color="auto" w:fill="B3D5AB" w:themeFill="accent4" w:themeFillTint="66"/>
            <w:vAlign w:val="bottom"/>
            <w:hideMark/>
          </w:tcPr>
          <w:p w14:paraId="5058DB0F" w14:textId="36FB144E" w:rsidR="00D764C0" w:rsidRPr="005D5005" w:rsidRDefault="00436470" w:rsidP="005D5005">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Grace Period (Years</w:t>
            </w:r>
            <w:r w:rsidR="00D764C0" w:rsidRPr="005D5005">
              <w:rPr>
                <w:rFonts w:ascii="Bookman Old Style" w:hAnsi="Bookman Old Style"/>
                <w:b/>
                <w:bCs/>
                <w:color w:val="000000"/>
                <w:sz w:val="18"/>
                <w:szCs w:val="18"/>
                <w:lang w:eastAsia="en-GB"/>
              </w:rPr>
              <w:t>)</w:t>
            </w:r>
          </w:p>
        </w:tc>
        <w:tc>
          <w:tcPr>
            <w:tcW w:w="1620" w:type="dxa"/>
            <w:tcBorders>
              <w:top w:val="single" w:sz="18" w:space="0" w:color="auto"/>
              <w:bottom w:val="single" w:sz="18" w:space="0" w:color="auto"/>
            </w:tcBorders>
            <w:shd w:val="clear" w:color="auto" w:fill="B3D5AB" w:themeFill="accent4" w:themeFillTint="66"/>
            <w:vAlign w:val="bottom"/>
            <w:hideMark/>
          </w:tcPr>
          <w:p w14:paraId="7BD8A609" w14:textId="4BED584A" w:rsidR="00D764C0" w:rsidRPr="005D5005" w:rsidRDefault="00436470" w:rsidP="005D5005">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Repayment Period (Years</w:t>
            </w:r>
            <w:r w:rsidR="00D764C0" w:rsidRPr="005D5005">
              <w:rPr>
                <w:rFonts w:ascii="Bookman Old Style" w:hAnsi="Bookman Old Style"/>
                <w:b/>
                <w:bCs/>
                <w:color w:val="000000"/>
                <w:sz w:val="18"/>
                <w:szCs w:val="18"/>
                <w:lang w:eastAsia="en-GB"/>
              </w:rPr>
              <w:t>)</w:t>
            </w:r>
          </w:p>
        </w:tc>
        <w:tc>
          <w:tcPr>
            <w:tcW w:w="1116" w:type="dxa"/>
            <w:tcBorders>
              <w:top w:val="single" w:sz="18" w:space="0" w:color="auto"/>
              <w:bottom w:val="single" w:sz="18" w:space="0" w:color="auto"/>
            </w:tcBorders>
            <w:shd w:val="clear" w:color="auto" w:fill="B3D5AB" w:themeFill="accent4" w:themeFillTint="66"/>
            <w:vAlign w:val="bottom"/>
            <w:hideMark/>
          </w:tcPr>
          <w:p w14:paraId="4166B46F" w14:textId="11D7453B" w:rsidR="00D764C0" w:rsidRPr="005D5005" w:rsidRDefault="00436470" w:rsidP="00436470">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Interest/Annum</w:t>
            </w:r>
            <w:r w:rsidRPr="005D5005">
              <w:rPr>
                <w:rFonts w:ascii="Bookman Old Style" w:hAnsi="Bookman Old Style"/>
                <w:b/>
                <w:bCs/>
                <w:color w:val="000000"/>
                <w:sz w:val="18"/>
                <w:szCs w:val="18"/>
                <w:lang w:eastAsia="en-GB"/>
              </w:rPr>
              <w:t xml:space="preserve"> (</w:t>
            </w:r>
            <w:r w:rsidR="00D764C0" w:rsidRPr="005D5005">
              <w:rPr>
                <w:rFonts w:ascii="Bookman Old Style" w:hAnsi="Bookman Old Style"/>
                <w:b/>
                <w:bCs/>
                <w:color w:val="000000"/>
                <w:sz w:val="18"/>
                <w:szCs w:val="18"/>
                <w:lang w:eastAsia="en-GB"/>
              </w:rPr>
              <w:t>%)</w:t>
            </w:r>
          </w:p>
        </w:tc>
        <w:tc>
          <w:tcPr>
            <w:tcW w:w="1709" w:type="dxa"/>
            <w:tcBorders>
              <w:top w:val="single" w:sz="18" w:space="0" w:color="auto"/>
              <w:bottom w:val="single" w:sz="18" w:space="0" w:color="auto"/>
            </w:tcBorders>
            <w:shd w:val="clear" w:color="auto" w:fill="B3D5AB" w:themeFill="accent4" w:themeFillTint="66"/>
            <w:vAlign w:val="bottom"/>
            <w:hideMark/>
          </w:tcPr>
          <w:p w14:paraId="1C24E842" w14:textId="746533E5" w:rsidR="00D764C0" w:rsidRPr="005D5005" w:rsidRDefault="00D764C0" w:rsidP="00436470">
            <w:pPr>
              <w:spacing w:after="0" w:line="360" w:lineRule="auto"/>
              <w:jc w:val="center"/>
              <w:rPr>
                <w:rFonts w:ascii="Bookman Old Style" w:hAnsi="Bookman Old Style"/>
                <w:b/>
                <w:bCs/>
                <w:color w:val="000000"/>
                <w:sz w:val="18"/>
                <w:szCs w:val="18"/>
                <w:lang w:eastAsia="en-GB"/>
              </w:rPr>
            </w:pPr>
            <w:r w:rsidRPr="005D5005">
              <w:rPr>
                <w:rFonts w:ascii="Bookman Old Style" w:hAnsi="Bookman Old Style"/>
                <w:b/>
                <w:bCs/>
                <w:color w:val="000000"/>
                <w:sz w:val="18"/>
                <w:szCs w:val="18"/>
                <w:lang w:eastAsia="en-GB"/>
              </w:rPr>
              <w:t>O</w:t>
            </w:r>
            <w:r w:rsidR="00436470">
              <w:rPr>
                <w:rFonts w:ascii="Bookman Old Style" w:hAnsi="Bookman Old Style"/>
                <w:b/>
                <w:bCs/>
                <w:color w:val="000000"/>
                <w:sz w:val="18"/>
                <w:szCs w:val="18"/>
                <w:lang w:eastAsia="en-GB"/>
              </w:rPr>
              <w:t>ther Loan Terms</w:t>
            </w:r>
          </w:p>
        </w:tc>
        <w:tc>
          <w:tcPr>
            <w:tcW w:w="1314" w:type="dxa"/>
            <w:tcBorders>
              <w:top w:val="single" w:sz="18" w:space="0" w:color="auto"/>
              <w:bottom w:val="single" w:sz="18" w:space="0" w:color="auto"/>
            </w:tcBorders>
            <w:shd w:val="clear" w:color="auto" w:fill="B3D5AB" w:themeFill="accent4" w:themeFillTint="66"/>
            <w:vAlign w:val="bottom"/>
            <w:hideMark/>
          </w:tcPr>
          <w:p w14:paraId="4EEEEEF6" w14:textId="02AB6D6C" w:rsidR="00D764C0" w:rsidRPr="005D5005" w:rsidRDefault="00436470" w:rsidP="005D5005">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Amount</w:t>
            </w:r>
          </w:p>
        </w:tc>
        <w:tc>
          <w:tcPr>
            <w:tcW w:w="983" w:type="dxa"/>
            <w:tcBorders>
              <w:top w:val="single" w:sz="18" w:space="0" w:color="auto"/>
              <w:bottom w:val="single" w:sz="18" w:space="0" w:color="auto"/>
            </w:tcBorders>
            <w:shd w:val="clear" w:color="auto" w:fill="B3D5AB" w:themeFill="accent4" w:themeFillTint="66"/>
            <w:vAlign w:val="bottom"/>
            <w:hideMark/>
          </w:tcPr>
          <w:p w14:paraId="3F523C0B" w14:textId="72F6CC1F" w:rsidR="00D764C0" w:rsidRPr="005D5005" w:rsidRDefault="00436470" w:rsidP="00436470">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Equiv in USD</w:t>
            </w:r>
          </w:p>
        </w:tc>
        <w:tc>
          <w:tcPr>
            <w:tcW w:w="1265" w:type="dxa"/>
            <w:tcBorders>
              <w:top w:val="single" w:sz="18" w:space="0" w:color="auto"/>
              <w:bottom w:val="single" w:sz="18" w:space="0" w:color="auto"/>
              <w:right w:val="single" w:sz="18" w:space="0" w:color="auto"/>
            </w:tcBorders>
            <w:shd w:val="clear" w:color="auto" w:fill="B3D5AB" w:themeFill="accent4" w:themeFillTint="66"/>
            <w:vAlign w:val="bottom"/>
            <w:hideMark/>
          </w:tcPr>
          <w:p w14:paraId="50D64252" w14:textId="30C34386" w:rsidR="00D764C0" w:rsidRPr="005D5005" w:rsidRDefault="00D764C0" w:rsidP="00436470">
            <w:pPr>
              <w:spacing w:after="0" w:line="360" w:lineRule="auto"/>
              <w:jc w:val="center"/>
              <w:rPr>
                <w:rFonts w:ascii="Bookman Old Style" w:hAnsi="Bookman Old Style"/>
                <w:b/>
                <w:bCs/>
                <w:color w:val="000000"/>
                <w:sz w:val="18"/>
                <w:szCs w:val="18"/>
                <w:lang w:eastAsia="en-GB"/>
              </w:rPr>
            </w:pPr>
            <w:r w:rsidRPr="005D5005">
              <w:rPr>
                <w:rFonts w:ascii="Bookman Old Style" w:hAnsi="Bookman Old Style"/>
                <w:b/>
                <w:bCs/>
                <w:color w:val="000000"/>
                <w:sz w:val="18"/>
                <w:szCs w:val="18"/>
                <w:lang w:eastAsia="en-GB"/>
              </w:rPr>
              <w:t>G</w:t>
            </w:r>
            <w:r w:rsidR="00436470">
              <w:rPr>
                <w:rFonts w:ascii="Bookman Old Style" w:hAnsi="Bookman Old Style"/>
                <w:b/>
                <w:bCs/>
                <w:color w:val="000000"/>
                <w:sz w:val="18"/>
                <w:szCs w:val="18"/>
                <w:lang w:eastAsia="en-GB"/>
              </w:rPr>
              <w:t>rant</w:t>
            </w:r>
            <w:r w:rsidR="00BB24AF">
              <w:rPr>
                <w:rStyle w:val="FootnoteReference"/>
                <w:rFonts w:ascii="Bookman Old Style" w:hAnsi="Bookman Old Style"/>
                <w:b/>
                <w:bCs/>
                <w:color w:val="000000"/>
                <w:sz w:val="18"/>
                <w:szCs w:val="18"/>
                <w:lang w:eastAsia="en-GB"/>
              </w:rPr>
              <w:footnoteReference w:id="7"/>
            </w:r>
            <w:r w:rsidR="00436470">
              <w:rPr>
                <w:rFonts w:ascii="Bookman Old Style" w:hAnsi="Bookman Old Style"/>
                <w:b/>
                <w:bCs/>
                <w:color w:val="000000"/>
                <w:sz w:val="18"/>
                <w:szCs w:val="18"/>
                <w:lang w:eastAsia="en-GB"/>
              </w:rPr>
              <w:t xml:space="preserve"> Element</w:t>
            </w:r>
            <w:r w:rsidR="003D6EE0">
              <w:rPr>
                <w:rFonts w:ascii="Bookman Old Style" w:hAnsi="Bookman Old Style"/>
                <w:b/>
                <w:bCs/>
                <w:color w:val="000000"/>
                <w:sz w:val="18"/>
                <w:szCs w:val="18"/>
                <w:lang w:eastAsia="en-GB"/>
              </w:rPr>
              <w:t xml:space="preserve"> (%)</w:t>
            </w:r>
          </w:p>
        </w:tc>
      </w:tr>
      <w:tr w:rsidR="005D5005" w:rsidRPr="005D5005" w14:paraId="6D2F4102" w14:textId="77777777" w:rsidTr="00B91BE7">
        <w:trPr>
          <w:trHeight w:val="681"/>
        </w:trPr>
        <w:tc>
          <w:tcPr>
            <w:tcW w:w="2970" w:type="dxa"/>
            <w:tcBorders>
              <w:top w:val="single" w:sz="18" w:space="0" w:color="auto"/>
              <w:left w:val="single" w:sz="18" w:space="0" w:color="auto"/>
            </w:tcBorders>
            <w:shd w:val="clear" w:color="auto" w:fill="auto"/>
            <w:vAlign w:val="center"/>
            <w:hideMark/>
          </w:tcPr>
          <w:p w14:paraId="11CE8DC9"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Malawi Watershed Services Improvement Project</w:t>
            </w:r>
          </w:p>
        </w:tc>
        <w:tc>
          <w:tcPr>
            <w:tcW w:w="900" w:type="dxa"/>
            <w:tcBorders>
              <w:top w:val="single" w:sz="18" w:space="0" w:color="auto"/>
            </w:tcBorders>
            <w:shd w:val="clear" w:color="auto" w:fill="auto"/>
            <w:vAlign w:val="center"/>
            <w:hideMark/>
          </w:tcPr>
          <w:p w14:paraId="3C221D07"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IDA</w:t>
            </w:r>
          </w:p>
        </w:tc>
        <w:tc>
          <w:tcPr>
            <w:tcW w:w="1530" w:type="dxa"/>
            <w:gridSpan w:val="2"/>
            <w:tcBorders>
              <w:top w:val="single" w:sz="18" w:space="0" w:color="auto"/>
            </w:tcBorders>
            <w:shd w:val="clear" w:color="auto" w:fill="auto"/>
            <w:vAlign w:val="center"/>
            <w:hideMark/>
          </w:tcPr>
          <w:p w14:paraId="03C07A8D"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10-Dec-20</w:t>
            </w:r>
          </w:p>
        </w:tc>
        <w:tc>
          <w:tcPr>
            <w:tcW w:w="1260" w:type="dxa"/>
            <w:tcBorders>
              <w:top w:val="single" w:sz="18" w:space="0" w:color="auto"/>
            </w:tcBorders>
            <w:shd w:val="clear" w:color="auto" w:fill="auto"/>
            <w:vAlign w:val="center"/>
            <w:hideMark/>
          </w:tcPr>
          <w:p w14:paraId="0A2A2102"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6</w:t>
            </w:r>
          </w:p>
        </w:tc>
        <w:tc>
          <w:tcPr>
            <w:tcW w:w="1620" w:type="dxa"/>
            <w:tcBorders>
              <w:top w:val="single" w:sz="18" w:space="0" w:color="auto"/>
            </w:tcBorders>
            <w:shd w:val="clear" w:color="auto" w:fill="auto"/>
            <w:vAlign w:val="center"/>
            <w:hideMark/>
          </w:tcPr>
          <w:p w14:paraId="0D40FC88"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32</w:t>
            </w:r>
          </w:p>
        </w:tc>
        <w:tc>
          <w:tcPr>
            <w:tcW w:w="1116" w:type="dxa"/>
            <w:tcBorders>
              <w:top w:val="single" w:sz="18" w:space="0" w:color="auto"/>
            </w:tcBorders>
            <w:shd w:val="clear" w:color="auto" w:fill="auto"/>
            <w:vAlign w:val="center"/>
            <w:hideMark/>
          </w:tcPr>
          <w:p w14:paraId="1124A6BB"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0.75</w:t>
            </w:r>
          </w:p>
        </w:tc>
        <w:tc>
          <w:tcPr>
            <w:tcW w:w="1709" w:type="dxa"/>
            <w:tcBorders>
              <w:top w:val="single" w:sz="18" w:space="0" w:color="auto"/>
            </w:tcBorders>
            <w:shd w:val="clear" w:color="auto" w:fill="auto"/>
            <w:vAlign w:val="center"/>
            <w:hideMark/>
          </w:tcPr>
          <w:p w14:paraId="461D05B0"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w:t>
            </w:r>
          </w:p>
        </w:tc>
        <w:tc>
          <w:tcPr>
            <w:tcW w:w="1314" w:type="dxa"/>
            <w:tcBorders>
              <w:top w:val="single" w:sz="18" w:space="0" w:color="auto"/>
            </w:tcBorders>
            <w:shd w:val="clear" w:color="auto" w:fill="auto"/>
            <w:vAlign w:val="center"/>
            <w:hideMark/>
          </w:tcPr>
          <w:p w14:paraId="626FFBCA"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XDR57.1</w:t>
            </w:r>
          </w:p>
        </w:tc>
        <w:tc>
          <w:tcPr>
            <w:tcW w:w="983" w:type="dxa"/>
            <w:tcBorders>
              <w:top w:val="single" w:sz="18" w:space="0" w:color="auto"/>
            </w:tcBorders>
            <w:shd w:val="clear" w:color="auto" w:fill="auto"/>
            <w:vAlign w:val="center"/>
            <w:hideMark/>
          </w:tcPr>
          <w:p w14:paraId="7D1B5FD4"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78.5</w:t>
            </w:r>
          </w:p>
        </w:tc>
        <w:tc>
          <w:tcPr>
            <w:tcW w:w="1265" w:type="dxa"/>
            <w:tcBorders>
              <w:top w:val="single" w:sz="18" w:space="0" w:color="auto"/>
              <w:right w:val="single" w:sz="18" w:space="0" w:color="auto"/>
            </w:tcBorders>
            <w:shd w:val="clear" w:color="auto" w:fill="auto"/>
            <w:vAlign w:val="center"/>
            <w:hideMark/>
          </w:tcPr>
          <w:p w14:paraId="1E3833FD" w14:textId="77777777" w:rsidR="00D764C0" w:rsidRPr="005D5005" w:rsidRDefault="00D764C0" w:rsidP="00BB24AF">
            <w:pPr>
              <w:spacing w:after="0" w:line="360" w:lineRule="auto"/>
              <w:ind w:firstLineChars="100" w:firstLine="200"/>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53 </w:t>
            </w:r>
          </w:p>
        </w:tc>
      </w:tr>
      <w:tr w:rsidR="005D5005" w:rsidRPr="005D5005" w14:paraId="3480012A" w14:textId="77777777" w:rsidTr="00551FA8">
        <w:trPr>
          <w:trHeight w:val="681"/>
        </w:trPr>
        <w:tc>
          <w:tcPr>
            <w:tcW w:w="2970" w:type="dxa"/>
            <w:tcBorders>
              <w:left w:val="single" w:sz="18" w:space="0" w:color="auto"/>
            </w:tcBorders>
            <w:shd w:val="clear" w:color="auto" w:fill="auto"/>
            <w:vAlign w:val="center"/>
            <w:hideMark/>
          </w:tcPr>
          <w:p w14:paraId="48DDCA3C"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Financial Inclusion and Entrepreneurship Scaling Project</w:t>
            </w:r>
          </w:p>
        </w:tc>
        <w:tc>
          <w:tcPr>
            <w:tcW w:w="900" w:type="dxa"/>
            <w:shd w:val="clear" w:color="auto" w:fill="auto"/>
            <w:vAlign w:val="center"/>
            <w:hideMark/>
          </w:tcPr>
          <w:p w14:paraId="7FA437D6"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IDA</w:t>
            </w:r>
          </w:p>
        </w:tc>
        <w:tc>
          <w:tcPr>
            <w:tcW w:w="1530" w:type="dxa"/>
            <w:gridSpan w:val="2"/>
            <w:shd w:val="clear" w:color="auto" w:fill="auto"/>
            <w:vAlign w:val="center"/>
            <w:hideMark/>
          </w:tcPr>
          <w:p w14:paraId="59FEF6FD"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5-Nov-20</w:t>
            </w:r>
          </w:p>
        </w:tc>
        <w:tc>
          <w:tcPr>
            <w:tcW w:w="1260" w:type="dxa"/>
            <w:shd w:val="clear" w:color="auto" w:fill="auto"/>
            <w:vAlign w:val="center"/>
            <w:hideMark/>
          </w:tcPr>
          <w:p w14:paraId="255637A1"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6</w:t>
            </w:r>
          </w:p>
        </w:tc>
        <w:tc>
          <w:tcPr>
            <w:tcW w:w="1620" w:type="dxa"/>
            <w:shd w:val="clear" w:color="auto" w:fill="auto"/>
            <w:vAlign w:val="center"/>
            <w:hideMark/>
          </w:tcPr>
          <w:p w14:paraId="77A0EEA8"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32</w:t>
            </w:r>
          </w:p>
        </w:tc>
        <w:tc>
          <w:tcPr>
            <w:tcW w:w="1116" w:type="dxa"/>
            <w:shd w:val="clear" w:color="auto" w:fill="auto"/>
            <w:vAlign w:val="center"/>
            <w:hideMark/>
          </w:tcPr>
          <w:p w14:paraId="73F094B2"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0.75</w:t>
            </w:r>
          </w:p>
        </w:tc>
        <w:tc>
          <w:tcPr>
            <w:tcW w:w="1709" w:type="dxa"/>
            <w:shd w:val="clear" w:color="auto" w:fill="auto"/>
            <w:vAlign w:val="center"/>
            <w:hideMark/>
          </w:tcPr>
          <w:p w14:paraId="6F855FA1"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w:t>
            </w:r>
          </w:p>
        </w:tc>
        <w:tc>
          <w:tcPr>
            <w:tcW w:w="1314" w:type="dxa"/>
            <w:shd w:val="clear" w:color="auto" w:fill="auto"/>
            <w:vAlign w:val="center"/>
            <w:hideMark/>
          </w:tcPr>
          <w:p w14:paraId="6AB2A423"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XDR62.7</w:t>
            </w:r>
          </w:p>
        </w:tc>
        <w:tc>
          <w:tcPr>
            <w:tcW w:w="983" w:type="dxa"/>
            <w:shd w:val="clear" w:color="auto" w:fill="auto"/>
            <w:vAlign w:val="center"/>
            <w:hideMark/>
          </w:tcPr>
          <w:p w14:paraId="624FCE45"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86</w:t>
            </w:r>
          </w:p>
        </w:tc>
        <w:tc>
          <w:tcPr>
            <w:tcW w:w="1265" w:type="dxa"/>
            <w:tcBorders>
              <w:right w:val="single" w:sz="18" w:space="0" w:color="auto"/>
            </w:tcBorders>
            <w:shd w:val="clear" w:color="auto" w:fill="auto"/>
            <w:vAlign w:val="center"/>
            <w:hideMark/>
          </w:tcPr>
          <w:p w14:paraId="2AA91B10" w14:textId="77777777" w:rsidR="00D764C0" w:rsidRPr="005D5005" w:rsidRDefault="00D764C0" w:rsidP="00BB24AF">
            <w:pPr>
              <w:spacing w:after="0" w:line="360" w:lineRule="auto"/>
              <w:ind w:firstLineChars="100" w:firstLine="200"/>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53</w:t>
            </w:r>
          </w:p>
        </w:tc>
      </w:tr>
      <w:tr w:rsidR="005D5005" w:rsidRPr="005D5005" w14:paraId="101F787A" w14:textId="77777777" w:rsidTr="00551FA8">
        <w:trPr>
          <w:trHeight w:val="681"/>
        </w:trPr>
        <w:tc>
          <w:tcPr>
            <w:tcW w:w="2970" w:type="dxa"/>
            <w:tcBorders>
              <w:left w:val="single" w:sz="18" w:space="0" w:color="auto"/>
            </w:tcBorders>
            <w:shd w:val="clear" w:color="auto" w:fill="auto"/>
            <w:vAlign w:val="center"/>
            <w:hideMark/>
          </w:tcPr>
          <w:p w14:paraId="2DB9859F"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Covid-19 Response Support Programme</w:t>
            </w:r>
          </w:p>
        </w:tc>
        <w:tc>
          <w:tcPr>
            <w:tcW w:w="900" w:type="dxa"/>
            <w:shd w:val="clear" w:color="auto" w:fill="auto"/>
            <w:vAlign w:val="center"/>
            <w:hideMark/>
          </w:tcPr>
          <w:p w14:paraId="4147E4AD"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ADF</w:t>
            </w:r>
          </w:p>
        </w:tc>
        <w:tc>
          <w:tcPr>
            <w:tcW w:w="1530" w:type="dxa"/>
            <w:gridSpan w:val="2"/>
            <w:shd w:val="clear" w:color="auto" w:fill="auto"/>
            <w:vAlign w:val="center"/>
            <w:hideMark/>
          </w:tcPr>
          <w:p w14:paraId="7E1C985C"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2-Nov-20</w:t>
            </w:r>
          </w:p>
        </w:tc>
        <w:tc>
          <w:tcPr>
            <w:tcW w:w="1260" w:type="dxa"/>
            <w:shd w:val="clear" w:color="auto" w:fill="auto"/>
            <w:vAlign w:val="center"/>
            <w:hideMark/>
          </w:tcPr>
          <w:p w14:paraId="2A0E079F"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10</w:t>
            </w:r>
          </w:p>
        </w:tc>
        <w:tc>
          <w:tcPr>
            <w:tcW w:w="1620" w:type="dxa"/>
            <w:shd w:val="clear" w:color="auto" w:fill="auto"/>
            <w:vAlign w:val="center"/>
            <w:hideMark/>
          </w:tcPr>
          <w:p w14:paraId="77471E86"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30</w:t>
            </w:r>
          </w:p>
        </w:tc>
        <w:tc>
          <w:tcPr>
            <w:tcW w:w="1116" w:type="dxa"/>
            <w:shd w:val="clear" w:color="auto" w:fill="auto"/>
            <w:vAlign w:val="center"/>
            <w:hideMark/>
          </w:tcPr>
          <w:p w14:paraId="7E6AEA9E"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0.75</w:t>
            </w:r>
          </w:p>
        </w:tc>
        <w:tc>
          <w:tcPr>
            <w:tcW w:w="1709" w:type="dxa"/>
            <w:shd w:val="clear" w:color="auto" w:fill="auto"/>
            <w:vAlign w:val="center"/>
            <w:hideMark/>
          </w:tcPr>
          <w:p w14:paraId="66B7BDFC"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Commitment fee 0.5%</w:t>
            </w:r>
          </w:p>
        </w:tc>
        <w:tc>
          <w:tcPr>
            <w:tcW w:w="1314" w:type="dxa"/>
            <w:shd w:val="clear" w:color="auto" w:fill="auto"/>
            <w:vAlign w:val="center"/>
            <w:hideMark/>
          </w:tcPr>
          <w:p w14:paraId="32005FDD"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UA17.9</w:t>
            </w:r>
          </w:p>
        </w:tc>
        <w:tc>
          <w:tcPr>
            <w:tcW w:w="983" w:type="dxa"/>
            <w:shd w:val="clear" w:color="auto" w:fill="auto"/>
            <w:vAlign w:val="center"/>
            <w:hideMark/>
          </w:tcPr>
          <w:p w14:paraId="536A69AA"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22.68</w:t>
            </w:r>
          </w:p>
        </w:tc>
        <w:tc>
          <w:tcPr>
            <w:tcW w:w="1265" w:type="dxa"/>
            <w:tcBorders>
              <w:right w:val="single" w:sz="18" w:space="0" w:color="auto"/>
            </w:tcBorders>
            <w:shd w:val="clear" w:color="auto" w:fill="auto"/>
            <w:vAlign w:val="center"/>
            <w:hideMark/>
          </w:tcPr>
          <w:p w14:paraId="34648A6E" w14:textId="77777777" w:rsidR="00D764C0" w:rsidRPr="005D5005" w:rsidRDefault="00D764C0" w:rsidP="00BB24AF">
            <w:pPr>
              <w:spacing w:after="0" w:line="360" w:lineRule="auto"/>
              <w:ind w:firstLineChars="100" w:firstLine="200"/>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51</w:t>
            </w:r>
          </w:p>
        </w:tc>
      </w:tr>
      <w:tr w:rsidR="005D5005" w:rsidRPr="005D5005" w14:paraId="42760AFF" w14:textId="77777777" w:rsidTr="00551FA8">
        <w:trPr>
          <w:trHeight w:val="681"/>
        </w:trPr>
        <w:tc>
          <w:tcPr>
            <w:tcW w:w="2970" w:type="dxa"/>
            <w:tcBorders>
              <w:left w:val="single" w:sz="18" w:space="0" w:color="auto"/>
            </w:tcBorders>
            <w:shd w:val="clear" w:color="auto" w:fill="auto"/>
            <w:vAlign w:val="center"/>
            <w:hideMark/>
          </w:tcPr>
          <w:p w14:paraId="225DA3FC"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Supplementary Financing for the Promoting Investment and Competitiveness in the Tourism Sector</w:t>
            </w:r>
          </w:p>
        </w:tc>
        <w:tc>
          <w:tcPr>
            <w:tcW w:w="900" w:type="dxa"/>
            <w:shd w:val="clear" w:color="auto" w:fill="auto"/>
            <w:vAlign w:val="center"/>
            <w:hideMark/>
          </w:tcPr>
          <w:p w14:paraId="7D68AED8"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ADF</w:t>
            </w:r>
          </w:p>
        </w:tc>
        <w:tc>
          <w:tcPr>
            <w:tcW w:w="1530" w:type="dxa"/>
            <w:gridSpan w:val="2"/>
            <w:shd w:val="clear" w:color="auto" w:fill="auto"/>
            <w:vAlign w:val="center"/>
            <w:hideMark/>
          </w:tcPr>
          <w:p w14:paraId="34088C6E"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2-Nov-20</w:t>
            </w:r>
          </w:p>
        </w:tc>
        <w:tc>
          <w:tcPr>
            <w:tcW w:w="1260" w:type="dxa"/>
            <w:shd w:val="clear" w:color="auto" w:fill="auto"/>
            <w:vAlign w:val="center"/>
            <w:hideMark/>
          </w:tcPr>
          <w:p w14:paraId="47002A75"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10</w:t>
            </w:r>
          </w:p>
        </w:tc>
        <w:tc>
          <w:tcPr>
            <w:tcW w:w="1620" w:type="dxa"/>
            <w:shd w:val="clear" w:color="auto" w:fill="auto"/>
            <w:vAlign w:val="center"/>
            <w:hideMark/>
          </w:tcPr>
          <w:p w14:paraId="6C69A3D1"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30</w:t>
            </w:r>
          </w:p>
        </w:tc>
        <w:tc>
          <w:tcPr>
            <w:tcW w:w="1116" w:type="dxa"/>
            <w:shd w:val="clear" w:color="auto" w:fill="auto"/>
            <w:vAlign w:val="center"/>
            <w:hideMark/>
          </w:tcPr>
          <w:p w14:paraId="2BBE768C"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0.75</w:t>
            </w:r>
          </w:p>
        </w:tc>
        <w:tc>
          <w:tcPr>
            <w:tcW w:w="1709" w:type="dxa"/>
            <w:shd w:val="clear" w:color="auto" w:fill="auto"/>
            <w:vAlign w:val="center"/>
            <w:hideMark/>
          </w:tcPr>
          <w:p w14:paraId="44D6A8CF"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Commitment fee 0.5%</w:t>
            </w:r>
          </w:p>
        </w:tc>
        <w:tc>
          <w:tcPr>
            <w:tcW w:w="1314" w:type="dxa"/>
            <w:shd w:val="clear" w:color="auto" w:fill="auto"/>
            <w:vAlign w:val="center"/>
            <w:hideMark/>
          </w:tcPr>
          <w:p w14:paraId="7A16DFC4"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UA 0.32</w:t>
            </w:r>
          </w:p>
        </w:tc>
        <w:tc>
          <w:tcPr>
            <w:tcW w:w="983" w:type="dxa"/>
            <w:shd w:val="clear" w:color="auto" w:fill="auto"/>
            <w:vAlign w:val="center"/>
            <w:hideMark/>
          </w:tcPr>
          <w:p w14:paraId="5A9368D9"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0.46</w:t>
            </w:r>
          </w:p>
        </w:tc>
        <w:tc>
          <w:tcPr>
            <w:tcW w:w="1265" w:type="dxa"/>
            <w:tcBorders>
              <w:right w:val="single" w:sz="18" w:space="0" w:color="auto"/>
            </w:tcBorders>
            <w:shd w:val="clear" w:color="auto" w:fill="auto"/>
            <w:vAlign w:val="center"/>
            <w:hideMark/>
          </w:tcPr>
          <w:p w14:paraId="642A3667" w14:textId="77777777" w:rsidR="00D764C0" w:rsidRPr="005D5005" w:rsidRDefault="00D764C0" w:rsidP="00BB24AF">
            <w:pPr>
              <w:spacing w:after="0" w:line="360" w:lineRule="auto"/>
              <w:ind w:firstLineChars="100" w:firstLine="200"/>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51 </w:t>
            </w:r>
          </w:p>
        </w:tc>
      </w:tr>
      <w:tr w:rsidR="005D5005" w:rsidRPr="005D5005" w14:paraId="1CF9AA1A" w14:textId="77777777" w:rsidTr="00551FA8">
        <w:trPr>
          <w:trHeight w:val="681"/>
        </w:trPr>
        <w:tc>
          <w:tcPr>
            <w:tcW w:w="2970" w:type="dxa"/>
            <w:tcBorders>
              <w:left w:val="single" w:sz="18" w:space="0" w:color="auto"/>
            </w:tcBorders>
            <w:shd w:val="clear" w:color="auto" w:fill="auto"/>
            <w:vAlign w:val="center"/>
            <w:hideMark/>
          </w:tcPr>
          <w:p w14:paraId="4590C2F6" w14:textId="63198B26" w:rsidR="00D764C0" w:rsidRPr="005D5005" w:rsidRDefault="00064029"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xml:space="preserve">Additional Financing for the </w:t>
            </w:r>
            <w:r w:rsidR="00D764C0" w:rsidRPr="005D5005">
              <w:rPr>
                <w:rFonts w:ascii="Bookman Old Style" w:hAnsi="Bookman Old Style" w:cs="Calibri"/>
                <w:color w:val="000000"/>
                <w:sz w:val="20"/>
                <w:szCs w:val="20"/>
                <w:lang w:eastAsia="en-GB"/>
              </w:rPr>
              <w:t>Sustainable Agriculture Production Programme</w:t>
            </w:r>
          </w:p>
        </w:tc>
        <w:tc>
          <w:tcPr>
            <w:tcW w:w="900" w:type="dxa"/>
            <w:shd w:val="clear" w:color="auto" w:fill="auto"/>
            <w:vAlign w:val="center"/>
            <w:hideMark/>
          </w:tcPr>
          <w:p w14:paraId="5D94278A"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IFAD</w:t>
            </w:r>
          </w:p>
        </w:tc>
        <w:tc>
          <w:tcPr>
            <w:tcW w:w="1530" w:type="dxa"/>
            <w:gridSpan w:val="2"/>
            <w:shd w:val="clear" w:color="auto" w:fill="auto"/>
            <w:vAlign w:val="center"/>
            <w:hideMark/>
          </w:tcPr>
          <w:p w14:paraId="17BDC09D"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11-Nov-20</w:t>
            </w:r>
          </w:p>
        </w:tc>
        <w:tc>
          <w:tcPr>
            <w:tcW w:w="1260" w:type="dxa"/>
            <w:shd w:val="clear" w:color="auto" w:fill="auto"/>
            <w:vAlign w:val="center"/>
            <w:hideMark/>
          </w:tcPr>
          <w:p w14:paraId="6592F497"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10</w:t>
            </w:r>
          </w:p>
        </w:tc>
        <w:tc>
          <w:tcPr>
            <w:tcW w:w="1620" w:type="dxa"/>
            <w:shd w:val="clear" w:color="auto" w:fill="auto"/>
            <w:vAlign w:val="center"/>
            <w:hideMark/>
          </w:tcPr>
          <w:p w14:paraId="51BE2F7A"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30</w:t>
            </w:r>
          </w:p>
        </w:tc>
        <w:tc>
          <w:tcPr>
            <w:tcW w:w="1116" w:type="dxa"/>
            <w:shd w:val="clear" w:color="auto" w:fill="auto"/>
            <w:vAlign w:val="center"/>
            <w:hideMark/>
          </w:tcPr>
          <w:p w14:paraId="0830475F"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0.75</w:t>
            </w:r>
          </w:p>
        </w:tc>
        <w:tc>
          <w:tcPr>
            <w:tcW w:w="1709" w:type="dxa"/>
            <w:shd w:val="clear" w:color="auto" w:fill="auto"/>
            <w:vAlign w:val="center"/>
            <w:hideMark/>
          </w:tcPr>
          <w:p w14:paraId="3F2EB824"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w:t>
            </w:r>
          </w:p>
        </w:tc>
        <w:tc>
          <w:tcPr>
            <w:tcW w:w="1314" w:type="dxa"/>
            <w:shd w:val="clear" w:color="auto" w:fill="auto"/>
            <w:vAlign w:val="center"/>
            <w:hideMark/>
          </w:tcPr>
          <w:p w14:paraId="7E5B127E"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XDR7.3</w:t>
            </w:r>
          </w:p>
        </w:tc>
        <w:tc>
          <w:tcPr>
            <w:tcW w:w="983" w:type="dxa"/>
            <w:shd w:val="clear" w:color="auto" w:fill="auto"/>
            <w:vAlign w:val="center"/>
            <w:hideMark/>
          </w:tcPr>
          <w:p w14:paraId="06E16EAD"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10.1</w:t>
            </w:r>
          </w:p>
        </w:tc>
        <w:tc>
          <w:tcPr>
            <w:tcW w:w="1265" w:type="dxa"/>
            <w:tcBorders>
              <w:right w:val="single" w:sz="18" w:space="0" w:color="auto"/>
            </w:tcBorders>
            <w:shd w:val="clear" w:color="auto" w:fill="auto"/>
            <w:vAlign w:val="center"/>
            <w:hideMark/>
          </w:tcPr>
          <w:p w14:paraId="115FA2EA" w14:textId="77777777" w:rsidR="00D764C0" w:rsidRPr="005D5005" w:rsidRDefault="00D764C0" w:rsidP="00BB24AF">
            <w:pPr>
              <w:spacing w:after="0" w:line="360" w:lineRule="auto"/>
              <w:ind w:firstLineChars="100" w:firstLine="200"/>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58</w:t>
            </w:r>
          </w:p>
        </w:tc>
      </w:tr>
      <w:tr w:rsidR="005D5005" w:rsidRPr="005D5005" w14:paraId="74157BA6" w14:textId="77777777" w:rsidTr="00990BB5">
        <w:trPr>
          <w:trHeight w:val="681"/>
        </w:trPr>
        <w:tc>
          <w:tcPr>
            <w:tcW w:w="2970" w:type="dxa"/>
            <w:tcBorders>
              <w:left w:val="single" w:sz="18" w:space="0" w:color="auto"/>
              <w:bottom w:val="single" w:sz="18" w:space="0" w:color="auto"/>
            </w:tcBorders>
            <w:shd w:val="clear" w:color="auto" w:fill="auto"/>
            <w:vAlign w:val="center"/>
            <w:hideMark/>
          </w:tcPr>
          <w:p w14:paraId="30FF58AD"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Transforming Agriculture through Diversification and Entrepreneurship Programme</w:t>
            </w:r>
          </w:p>
        </w:tc>
        <w:tc>
          <w:tcPr>
            <w:tcW w:w="900" w:type="dxa"/>
            <w:tcBorders>
              <w:bottom w:val="single" w:sz="18" w:space="0" w:color="auto"/>
            </w:tcBorders>
            <w:shd w:val="clear" w:color="auto" w:fill="auto"/>
            <w:vAlign w:val="center"/>
            <w:hideMark/>
          </w:tcPr>
          <w:p w14:paraId="4EF9A549" w14:textId="77777777" w:rsidR="00D764C0" w:rsidRPr="005D5005" w:rsidRDefault="00D764C0" w:rsidP="005D500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OFID</w:t>
            </w:r>
          </w:p>
        </w:tc>
        <w:tc>
          <w:tcPr>
            <w:tcW w:w="1530" w:type="dxa"/>
            <w:gridSpan w:val="2"/>
            <w:tcBorders>
              <w:bottom w:val="single" w:sz="18" w:space="0" w:color="auto"/>
            </w:tcBorders>
            <w:shd w:val="clear" w:color="auto" w:fill="auto"/>
            <w:vAlign w:val="center"/>
            <w:hideMark/>
          </w:tcPr>
          <w:p w14:paraId="5A46C373"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25-Nov-20</w:t>
            </w:r>
          </w:p>
        </w:tc>
        <w:tc>
          <w:tcPr>
            <w:tcW w:w="1260" w:type="dxa"/>
            <w:tcBorders>
              <w:bottom w:val="single" w:sz="18" w:space="0" w:color="auto"/>
            </w:tcBorders>
            <w:shd w:val="clear" w:color="auto" w:fill="auto"/>
            <w:noWrap/>
            <w:vAlign w:val="center"/>
            <w:hideMark/>
          </w:tcPr>
          <w:p w14:paraId="67C4FC20"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5</w:t>
            </w:r>
          </w:p>
        </w:tc>
        <w:tc>
          <w:tcPr>
            <w:tcW w:w="1620" w:type="dxa"/>
            <w:tcBorders>
              <w:bottom w:val="single" w:sz="18" w:space="0" w:color="auto"/>
            </w:tcBorders>
            <w:shd w:val="clear" w:color="auto" w:fill="auto"/>
            <w:noWrap/>
            <w:vAlign w:val="center"/>
            <w:hideMark/>
          </w:tcPr>
          <w:p w14:paraId="0B09404E"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15</w:t>
            </w:r>
          </w:p>
        </w:tc>
        <w:tc>
          <w:tcPr>
            <w:tcW w:w="1116" w:type="dxa"/>
            <w:tcBorders>
              <w:bottom w:val="single" w:sz="18" w:space="0" w:color="auto"/>
            </w:tcBorders>
            <w:shd w:val="clear" w:color="auto" w:fill="auto"/>
            <w:noWrap/>
            <w:vAlign w:val="center"/>
            <w:hideMark/>
          </w:tcPr>
          <w:p w14:paraId="7CF49A4B"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w:t>
            </w:r>
          </w:p>
        </w:tc>
        <w:tc>
          <w:tcPr>
            <w:tcW w:w="1709" w:type="dxa"/>
            <w:tcBorders>
              <w:bottom w:val="single" w:sz="18" w:space="0" w:color="auto"/>
            </w:tcBorders>
            <w:shd w:val="clear" w:color="auto" w:fill="auto"/>
            <w:vAlign w:val="center"/>
            <w:hideMark/>
          </w:tcPr>
          <w:p w14:paraId="4ED024A8"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Service charge of 1%</w:t>
            </w:r>
          </w:p>
        </w:tc>
        <w:tc>
          <w:tcPr>
            <w:tcW w:w="1314" w:type="dxa"/>
            <w:tcBorders>
              <w:bottom w:val="single" w:sz="18" w:space="0" w:color="auto"/>
            </w:tcBorders>
            <w:shd w:val="clear" w:color="auto" w:fill="auto"/>
            <w:vAlign w:val="center"/>
            <w:hideMark/>
          </w:tcPr>
          <w:p w14:paraId="221B3326"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US$20</w:t>
            </w:r>
          </w:p>
        </w:tc>
        <w:tc>
          <w:tcPr>
            <w:tcW w:w="983" w:type="dxa"/>
            <w:tcBorders>
              <w:bottom w:val="single" w:sz="18" w:space="0" w:color="auto"/>
            </w:tcBorders>
            <w:shd w:val="clear" w:color="auto" w:fill="auto"/>
            <w:vAlign w:val="center"/>
            <w:hideMark/>
          </w:tcPr>
          <w:p w14:paraId="088604C9" w14:textId="77777777" w:rsidR="00D764C0" w:rsidRPr="005D5005" w:rsidRDefault="00D764C0" w:rsidP="005D500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20</w:t>
            </w:r>
          </w:p>
        </w:tc>
        <w:tc>
          <w:tcPr>
            <w:tcW w:w="1265" w:type="dxa"/>
            <w:tcBorders>
              <w:bottom w:val="single" w:sz="18" w:space="0" w:color="auto"/>
              <w:right w:val="single" w:sz="18" w:space="0" w:color="auto"/>
            </w:tcBorders>
            <w:shd w:val="clear" w:color="auto" w:fill="auto"/>
            <w:vAlign w:val="center"/>
            <w:hideMark/>
          </w:tcPr>
          <w:p w14:paraId="18724D8B" w14:textId="77777777" w:rsidR="00D764C0" w:rsidRPr="005D5005" w:rsidRDefault="00D764C0" w:rsidP="00BB24AF">
            <w:pPr>
              <w:spacing w:after="0" w:line="360" w:lineRule="auto"/>
              <w:ind w:firstLineChars="100" w:firstLine="200"/>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36</w:t>
            </w:r>
          </w:p>
        </w:tc>
      </w:tr>
    </w:tbl>
    <w:p w14:paraId="0F56E2AD" w14:textId="036D7DC1" w:rsidR="00D764C0" w:rsidRDefault="00D764C0"/>
    <w:p w14:paraId="230DD3DF" w14:textId="48B524C1" w:rsidR="0021011A" w:rsidRPr="008113EB" w:rsidRDefault="009C6DFB" w:rsidP="008113EB">
      <w:pPr>
        <w:rPr>
          <w:rFonts w:ascii="Bookman Old Style" w:hAnsi="Bookman Old Style" w:cs="Rockwell"/>
          <w:b/>
          <w:lang w:val="en-AU"/>
        </w:rPr>
      </w:pPr>
      <w:r w:rsidRPr="0096506B">
        <w:rPr>
          <w:rFonts w:ascii="Bookman Old Style" w:hAnsi="Bookman Old Style" w:cs="Rockwell"/>
          <w:b/>
          <w:lang w:val="en-AU"/>
        </w:rPr>
        <w:lastRenderedPageBreak/>
        <w:t>Annex 1</w:t>
      </w:r>
      <w:r>
        <w:rPr>
          <w:rFonts w:ascii="Bookman Old Style" w:hAnsi="Bookman Old Style" w:cs="Rockwell"/>
          <w:b/>
          <w:lang w:val="en-AU"/>
        </w:rPr>
        <w:t>:</w:t>
      </w:r>
      <w:r w:rsidRPr="0096506B">
        <w:rPr>
          <w:rFonts w:ascii="Bookman Old Style" w:hAnsi="Bookman Old Style" w:cs="Rockwell"/>
          <w:b/>
          <w:lang w:val="en-AU"/>
        </w:rPr>
        <w:t xml:space="preserve"> Newly Signed Loans</w:t>
      </w:r>
      <w:r w:rsidR="00F240DD">
        <w:rPr>
          <w:rFonts w:ascii="Bookman Old Style" w:hAnsi="Bookman Old Style" w:cs="Rockwell"/>
          <w:b/>
          <w:lang w:val="en-AU"/>
        </w:rPr>
        <w:t xml:space="preserve"> as at end- June 2021</w:t>
      </w:r>
      <w:r>
        <w:rPr>
          <w:rFonts w:ascii="Bookman Old Style" w:hAnsi="Bookman Old Style" w:cs="Rockwell"/>
          <w:b/>
          <w:lang w:val="en-AU"/>
        </w:rPr>
        <w:t xml:space="preserve"> </w:t>
      </w:r>
      <w:r w:rsidRPr="009C6DFB">
        <w:rPr>
          <w:rFonts w:ascii="Bookman Old Style" w:hAnsi="Bookman Old Style" w:cs="Rockwell"/>
          <w:b/>
          <w:i/>
          <w:lang w:val="en-AU"/>
        </w:rPr>
        <w:t>(continued)</w:t>
      </w:r>
    </w:p>
    <w:tbl>
      <w:tblPr>
        <w:tblW w:w="1466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968"/>
        <w:gridCol w:w="1079"/>
        <w:gridCol w:w="1258"/>
        <w:gridCol w:w="1357"/>
        <w:gridCol w:w="1619"/>
        <w:gridCol w:w="1116"/>
        <w:gridCol w:w="1708"/>
        <w:gridCol w:w="1314"/>
        <w:gridCol w:w="983"/>
        <w:gridCol w:w="1265"/>
      </w:tblGrid>
      <w:tr w:rsidR="008113EB" w:rsidRPr="005D5005" w14:paraId="10AE9BA2" w14:textId="77777777" w:rsidTr="00B91BE7">
        <w:trPr>
          <w:trHeight w:val="681"/>
        </w:trPr>
        <w:tc>
          <w:tcPr>
            <w:tcW w:w="2968" w:type="dxa"/>
            <w:tcBorders>
              <w:top w:val="single" w:sz="18" w:space="0" w:color="auto"/>
              <w:bottom w:val="single" w:sz="18" w:space="0" w:color="auto"/>
            </w:tcBorders>
            <w:shd w:val="clear" w:color="auto" w:fill="B3D5AB" w:themeFill="accent4" w:themeFillTint="66"/>
            <w:vAlign w:val="bottom"/>
            <w:hideMark/>
          </w:tcPr>
          <w:p w14:paraId="652F23DF" w14:textId="77777777" w:rsidR="008113EB" w:rsidRPr="005D5005" w:rsidRDefault="008113EB" w:rsidP="008113EB">
            <w:pPr>
              <w:spacing w:after="0" w:line="360" w:lineRule="auto"/>
              <w:jc w:val="left"/>
              <w:rPr>
                <w:rFonts w:ascii="Bookman Old Style" w:hAnsi="Bookman Old Style"/>
                <w:b/>
                <w:bCs/>
                <w:color w:val="000000"/>
                <w:sz w:val="18"/>
                <w:szCs w:val="18"/>
                <w:lang w:eastAsia="en-GB"/>
              </w:rPr>
            </w:pPr>
            <w:r w:rsidRPr="005D5005">
              <w:rPr>
                <w:rFonts w:ascii="Bookman Old Style" w:hAnsi="Bookman Old Style"/>
                <w:b/>
                <w:bCs/>
                <w:color w:val="000000"/>
                <w:sz w:val="18"/>
                <w:szCs w:val="18"/>
                <w:lang w:eastAsia="en-GB"/>
              </w:rPr>
              <w:t>L</w:t>
            </w:r>
            <w:r>
              <w:rPr>
                <w:rFonts w:ascii="Bookman Old Style" w:hAnsi="Bookman Old Style"/>
                <w:b/>
                <w:bCs/>
                <w:color w:val="000000"/>
                <w:sz w:val="18"/>
                <w:szCs w:val="18"/>
                <w:lang w:eastAsia="en-GB"/>
              </w:rPr>
              <w:t>oan</w:t>
            </w:r>
          </w:p>
        </w:tc>
        <w:tc>
          <w:tcPr>
            <w:tcW w:w="1079" w:type="dxa"/>
            <w:tcBorders>
              <w:top w:val="single" w:sz="18" w:space="0" w:color="auto"/>
              <w:bottom w:val="single" w:sz="18" w:space="0" w:color="auto"/>
            </w:tcBorders>
            <w:shd w:val="clear" w:color="auto" w:fill="B3D5AB" w:themeFill="accent4" w:themeFillTint="66"/>
            <w:vAlign w:val="bottom"/>
            <w:hideMark/>
          </w:tcPr>
          <w:p w14:paraId="5C800FA1" w14:textId="77777777" w:rsidR="008113EB" w:rsidRPr="005D5005" w:rsidRDefault="008113EB" w:rsidP="008113EB">
            <w:pPr>
              <w:spacing w:after="0" w:line="360" w:lineRule="auto"/>
              <w:jc w:val="left"/>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Creditor</w:t>
            </w:r>
          </w:p>
        </w:tc>
        <w:tc>
          <w:tcPr>
            <w:tcW w:w="1258" w:type="dxa"/>
            <w:tcBorders>
              <w:top w:val="single" w:sz="18" w:space="0" w:color="auto"/>
              <w:bottom w:val="single" w:sz="18" w:space="0" w:color="auto"/>
            </w:tcBorders>
            <w:shd w:val="clear" w:color="auto" w:fill="B3D5AB" w:themeFill="accent4" w:themeFillTint="66"/>
            <w:vAlign w:val="bottom"/>
            <w:hideMark/>
          </w:tcPr>
          <w:p w14:paraId="37E489BA" w14:textId="77777777" w:rsidR="008113EB" w:rsidRPr="005D5005" w:rsidRDefault="008113EB" w:rsidP="008113EB">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Signing Date</w:t>
            </w:r>
          </w:p>
        </w:tc>
        <w:tc>
          <w:tcPr>
            <w:tcW w:w="1357" w:type="dxa"/>
            <w:tcBorders>
              <w:top w:val="single" w:sz="18" w:space="0" w:color="auto"/>
              <w:bottom w:val="single" w:sz="18" w:space="0" w:color="auto"/>
            </w:tcBorders>
            <w:shd w:val="clear" w:color="auto" w:fill="B3D5AB" w:themeFill="accent4" w:themeFillTint="66"/>
            <w:vAlign w:val="bottom"/>
            <w:hideMark/>
          </w:tcPr>
          <w:p w14:paraId="5584702C" w14:textId="77777777" w:rsidR="008113EB" w:rsidRPr="005D5005" w:rsidRDefault="008113EB" w:rsidP="008113EB">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Grace Period (Years</w:t>
            </w:r>
            <w:r w:rsidRPr="005D5005">
              <w:rPr>
                <w:rFonts w:ascii="Bookman Old Style" w:hAnsi="Bookman Old Style"/>
                <w:b/>
                <w:bCs/>
                <w:color w:val="000000"/>
                <w:sz w:val="18"/>
                <w:szCs w:val="18"/>
                <w:lang w:eastAsia="en-GB"/>
              </w:rPr>
              <w:t>)</w:t>
            </w:r>
          </w:p>
        </w:tc>
        <w:tc>
          <w:tcPr>
            <w:tcW w:w="1619" w:type="dxa"/>
            <w:tcBorders>
              <w:top w:val="single" w:sz="18" w:space="0" w:color="auto"/>
              <w:bottom w:val="single" w:sz="18" w:space="0" w:color="auto"/>
            </w:tcBorders>
            <w:shd w:val="clear" w:color="auto" w:fill="B3D5AB" w:themeFill="accent4" w:themeFillTint="66"/>
            <w:vAlign w:val="bottom"/>
            <w:hideMark/>
          </w:tcPr>
          <w:p w14:paraId="54D02C63" w14:textId="77777777" w:rsidR="008113EB" w:rsidRPr="005D5005" w:rsidRDefault="008113EB" w:rsidP="008113EB">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Repayment Period (Years</w:t>
            </w:r>
            <w:r w:rsidRPr="005D5005">
              <w:rPr>
                <w:rFonts w:ascii="Bookman Old Style" w:hAnsi="Bookman Old Style"/>
                <w:b/>
                <w:bCs/>
                <w:color w:val="000000"/>
                <w:sz w:val="18"/>
                <w:szCs w:val="18"/>
                <w:lang w:eastAsia="en-GB"/>
              </w:rPr>
              <w:t>)</w:t>
            </w:r>
          </w:p>
        </w:tc>
        <w:tc>
          <w:tcPr>
            <w:tcW w:w="1116" w:type="dxa"/>
            <w:tcBorders>
              <w:top w:val="single" w:sz="18" w:space="0" w:color="auto"/>
              <w:bottom w:val="single" w:sz="18" w:space="0" w:color="auto"/>
            </w:tcBorders>
            <w:shd w:val="clear" w:color="auto" w:fill="B3D5AB" w:themeFill="accent4" w:themeFillTint="66"/>
            <w:vAlign w:val="bottom"/>
            <w:hideMark/>
          </w:tcPr>
          <w:p w14:paraId="5143BB17" w14:textId="77777777" w:rsidR="008113EB" w:rsidRPr="005D5005" w:rsidRDefault="008113EB" w:rsidP="008113EB">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Interest/Annum</w:t>
            </w:r>
            <w:r w:rsidRPr="005D5005">
              <w:rPr>
                <w:rFonts w:ascii="Bookman Old Style" w:hAnsi="Bookman Old Style"/>
                <w:b/>
                <w:bCs/>
                <w:color w:val="000000"/>
                <w:sz w:val="18"/>
                <w:szCs w:val="18"/>
                <w:lang w:eastAsia="en-GB"/>
              </w:rPr>
              <w:t xml:space="preserve"> (%)</w:t>
            </w:r>
          </w:p>
        </w:tc>
        <w:tc>
          <w:tcPr>
            <w:tcW w:w="1708" w:type="dxa"/>
            <w:tcBorders>
              <w:top w:val="single" w:sz="18" w:space="0" w:color="auto"/>
              <w:bottom w:val="single" w:sz="18" w:space="0" w:color="auto"/>
            </w:tcBorders>
            <w:shd w:val="clear" w:color="auto" w:fill="B3D5AB" w:themeFill="accent4" w:themeFillTint="66"/>
            <w:vAlign w:val="bottom"/>
            <w:hideMark/>
          </w:tcPr>
          <w:p w14:paraId="2E6D3520" w14:textId="77777777" w:rsidR="008113EB" w:rsidRPr="005D5005" w:rsidRDefault="008113EB" w:rsidP="008113EB">
            <w:pPr>
              <w:spacing w:after="0" w:line="360" w:lineRule="auto"/>
              <w:jc w:val="center"/>
              <w:rPr>
                <w:rFonts w:ascii="Bookman Old Style" w:hAnsi="Bookman Old Style"/>
                <w:b/>
                <w:bCs/>
                <w:color w:val="000000"/>
                <w:sz w:val="18"/>
                <w:szCs w:val="18"/>
                <w:lang w:eastAsia="en-GB"/>
              </w:rPr>
            </w:pPr>
            <w:r w:rsidRPr="005D5005">
              <w:rPr>
                <w:rFonts w:ascii="Bookman Old Style" w:hAnsi="Bookman Old Style"/>
                <w:b/>
                <w:bCs/>
                <w:color w:val="000000"/>
                <w:sz w:val="18"/>
                <w:szCs w:val="18"/>
                <w:lang w:eastAsia="en-GB"/>
              </w:rPr>
              <w:t>O</w:t>
            </w:r>
            <w:r>
              <w:rPr>
                <w:rFonts w:ascii="Bookman Old Style" w:hAnsi="Bookman Old Style"/>
                <w:b/>
                <w:bCs/>
                <w:color w:val="000000"/>
                <w:sz w:val="18"/>
                <w:szCs w:val="18"/>
                <w:lang w:eastAsia="en-GB"/>
              </w:rPr>
              <w:t>ther Loan Terms</w:t>
            </w:r>
          </w:p>
        </w:tc>
        <w:tc>
          <w:tcPr>
            <w:tcW w:w="1314" w:type="dxa"/>
            <w:tcBorders>
              <w:top w:val="single" w:sz="18" w:space="0" w:color="auto"/>
              <w:bottom w:val="single" w:sz="18" w:space="0" w:color="auto"/>
            </w:tcBorders>
            <w:shd w:val="clear" w:color="auto" w:fill="B3D5AB" w:themeFill="accent4" w:themeFillTint="66"/>
            <w:vAlign w:val="bottom"/>
            <w:hideMark/>
          </w:tcPr>
          <w:p w14:paraId="2E9BE950" w14:textId="77777777" w:rsidR="008113EB" w:rsidRPr="005D5005" w:rsidRDefault="008113EB" w:rsidP="008113EB">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Amount</w:t>
            </w:r>
          </w:p>
        </w:tc>
        <w:tc>
          <w:tcPr>
            <w:tcW w:w="983" w:type="dxa"/>
            <w:tcBorders>
              <w:top w:val="single" w:sz="18" w:space="0" w:color="auto"/>
              <w:bottom w:val="single" w:sz="18" w:space="0" w:color="auto"/>
            </w:tcBorders>
            <w:shd w:val="clear" w:color="auto" w:fill="B3D5AB" w:themeFill="accent4" w:themeFillTint="66"/>
            <w:vAlign w:val="bottom"/>
            <w:hideMark/>
          </w:tcPr>
          <w:p w14:paraId="2E526FFD" w14:textId="77777777" w:rsidR="008113EB" w:rsidRPr="005D5005" w:rsidRDefault="008113EB" w:rsidP="008113EB">
            <w:pPr>
              <w:spacing w:after="0" w:line="360" w:lineRule="auto"/>
              <w:jc w:val="center"/>
              <w:rPr>
                <w:rFonts w:ascii="Bookman Old Style" w:hAnsi="Bookman Old Style"/>
                <w:b/>
                <w:bCs/>
                <w:color w:val="000000"/>
                <w:sz w:val="18"/>
                <w:szCs w:val="18"/>
                <w:lang w:eastAsia="en-GB"/>
              </w:rPr>
            </w:pPr>
            <w:r>
              <w:rPr>
                <w:rFonts w:ascii="Bookman Old Style" w:hAnsi="Bookman Old Style"/>
                <w:b/>
                <w:bCs/>
                <w:color w:val="000000"/>
                <w:sz w:val="18"/>
                <w:szCs w:val="18"/>
                <w:lang w:eastAsia="en-GB"/>
              </w:rPr>
              <w:t>Equiv in USD</w:t>
            </w:r>
          </w:p>
        </w:tc>
        <w:tc>
          <w:tcPr>
            <w:tcW w:w="1265" w:type="dxa"/>
            <w:tcBorders>
              <w:top w:val="single" w:sz="18" w:space="0" w:color="auto"/>
              <w:bottom w:val="single" w:sz="18" w:space="0" w:color="auto"/>
            </w:tcBorders>
            <w:shd w:val="clear" w:color="auto" w:fill="B3D5AB" w:themeFill="accent4" w:themeFillTint="66"/>
            <w:vAlign w:val="bottom"/>
            <w:hideMark/>
          </w:tcPr>
          <w:p w14:paraId="2B9F1327" w14:textId="748ED305" w:rsidR="008113EB" w:rsidRPr="005D5005" w:rsidRDefault="008113EB" w:rsidP="008113EB">
            <w:pPr>
              <w:spacing w:after="0" w:line="360" w:lineRule="auto"/>
              <w:jc w:val="center"/>
              <w:rPr>
                <w:rFonts w:ascii="Bookman Old Style" w:hAnsi="Bookman Old Style"/>
                <w:b/>
                <w:bCs/>
                <w:color w:val="000000"/>
                <w:sz w:val="18"/>
                <w:szCs w:val="18"/>
                <w:lang w:eastAsia="en-GB"/>
              </w:rPr>
            </w:pPr>
            <w:r w:rsidRPr="005D5005">
              <w:rPr>
                <w:rFonts w:ascii="Bookman Old Style" w:hAnsi="Bookman Old Style"/>
                <w:b/>
                <w:bCs/>
                <w:color w:val="000000"/>
                <w:sz w:val="18"/>
                <w:szCs w:val="18"/>
                <w:lang w:eastAsia="en-GB"/>
              </w:rPr>
              <w:t>G</w:t>
            </w:r>
            <w:r>
              <w:rPr>
                <w:rFonts w:ascii="Bookman Old Style" w:hAnsi="Bookman Old Style"/>
                <w:b/>
                <w:bCs/>
                <w:color w:val="000000"/>
                <w:sz w:val="18"/>
                <w:szCs w:val="18"/>
                <w:lang w:eastAsia="en-GB"/>
              </w:rPr>
              <w:t>rant Element (%)</w:t>
            </w:r>
          </w:p>
        </w:tc>
      </w:tr>
      <w:tr w:rsidR="008113EB" w:rsidRPr="005D5005" w14:paraId="5630E03F" w14:textId="77777777" w:rsidTr="00B91BE7">
        <w:trPr>
          <w:trHeight w:val="681"/>
        </w:trPr>
        <w:tc>
          <w:tcPr>
            <w:tcW w:w="2968" w:type="dxa"/>
            <w:tcBorders>
              <w:top w:val="single" w:sz="18" w:space="0" w:color="auto"/>
            </w:tcBorders>
            <w:shd w:val="clear" w:color="auto" w:fill="auto"/>
            <w:vAlign w:val="center"/>
            <w:hideMark/>
          </w:tcPr>
          <w:p w14:paraId="15954EE0" w14:textId="40607CE0" w:rsidR="008113EB" w:rsidRPr="005D5005" w:rsidRDefault="008113EB" w:rsidP="008113EB">
            <w:pPr>
              <w:spacing w:after="0" w:line="360" w:lineRule="auto"/>
              <w:jc w:val="left"/>
              <w:rPr>
                <w:rFonts w:ascii="Bookman Old Style" w:hAnsi="Bookman Old Style" w:cs="Calibri"/>
                <w:color w:val="000000"/>
                <w:sz w:val="20"/>
                <w:szCs w:val="20"/>
                <w:lang w:eastAsia="en-GB"/>
              </w:rPr>
            </w:pPr>
            <w:r w:rsidRPr="00201AA1">
              <w:rPr>
                <w:rFonts w:ascii="Bookman Old Style" w:hAnsi="Bookman Old Style" w:cs="Calibri"/>
                <w:color w:val="000000"/>
                <w:sz w:val="20"/>
                <w:szCs w:val="20"/>
                <w:lang w:eastAsia="en-GB"/>
              </w:rPr>
              <w:t>Malawi National Fibre Backbone Phase II Project</w:t>
            </w:r>
          </w:p>
        </w:tc>
        <w:tc>
          <w:tcPr>
            <w:tcW w:w="1079" w:type="dxa"/>
            <w:tcBorders>
              <w:top w:val="single" w:sz="18" w:space="0" w:color="auto"/>
            </w:tcBorders>
            <w:shd w:val="clear" w:color="auto" w:fill="auto"/>
            <w:vAlign w:val="center"/>
            <w:hideMark/>
          </w:tcPr>
          <w:p w14:paraId="1BFFA39F" w14:textId="26F4B8BF" w:rsidR="008113EB" w:rsidRPr="005D5005" w:rsidRDefault="00990BB5" w:rsidP="008113EB">
            <w:pPr>
              <w:spacing w:after="0"/>
              <w:jc w:val="left"/>
              <w:rPr>
                <w:rFonts w:ascii="Bookman Old Style" w:hAnsi="Bookman Old Style" w:cs="Calibri"/>
                <w:color w:val="000000"/>
                <w:sz w:val="20"/>
                <w:szCs w:val="20"/>
                <w:lang w:eastAsia="en-GB"/>
              </w:rPr>
            </w:pPr>
            <w:r>
              <w:rPr>
                <w:rFonts w:ascii="Bookman Old Style" w:hAnsi="Bookman Old Style" w:cs="Calibri"/>
                <w:color w:val="000000"/>
                <w:sz w:val="20"/>
                <w:szCs w:val="20"/>
                <w:lang w:eastAsia="en-GB"/>
              </w:rPr>
              <w:t>EXIM China</w:t>
            </w:r>
          </w:p>
        </w:tc>
        <w:tc>
          <w:tcPr>
            <w:tcW w:w="1258" w:type="dxa"/>
            <w:tcBorders>
              <w:top w:val="single" w:sz="18" w:space="0" w:color="auto"/>
            </w:tcBorders>
            <w:shd w:val="clear" w:color="auto" w:fill="auto"/>
            <w:vAlign w:val="center"/>
            <w:hideMark/>
          </w:tcPr>
          <w:p w14:paraId="3934BFBD" w14:textId="58BAC4AD" w:rsidR="008113EB" w:rsidRPr="005D5005" w:rsidRDefault="008113EB" w:rsidP="008113EB">
            <w:pPr>
              <w:spacing w:after="0" w:line="360" w:lineRule="auto"/>
              <w:jc w:val="right"/>
              <w:rPr>
                <w:rFonts w:ascii="Bookman Old Style" w:hAnsi="Bookman Old Style" w:cs="Calibri"/>
                <w:color w:val="000000"/>
                <w:sz w:val="20"/>
                <w:szCs w:val="20"/>
                <w:lang w:eastAsia="en-GB"/>
              </w:rPr>
            </w:pPr>
            <w:r w:rsidRPr="00201AA1">
              <w:rPr>
                <w:rFonts w:ascii="Bookman Old Style" w:hAnsi="Bookman Old Style" w:cs="Calibri"/>
                <w:color w:val="000000"/>
                <w:sz w:val="20"/>
                <w:szCs w:val="20"/>
                <w:lang w:eastAsia="en-GB"/>
              </w:rPr>
              <w:t>18-Aug-20</w:t>
            </w:r>
          </w:p>
        </w:tc>
        <w:tc>
          <w:tcPr>
            <w:tcW w:w="1357" w:type="dxa"/>
            <w:tcBorders>
              <w:top w:val="single" w:sz="18" w:space="0" w:color="auto"/>
            </w:tcBorders>
            <w:shd w:val="clear" w:color="auto" w:fill="auto"/>
            <w:vAlign w:val="center"/>
            <w:hideMark/>
          </w:tcPr>
          <w:p w14:paraId="37AC793F" w14:textId="12197FBB" w:rsidR="008113EB" w:rsidRPr="005D5005" w:rsidRDefault="008113EB" w:rsidP="008113EB">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6</w:t>
            </w:r>
            <w:r>
              <w:rPr>
                <w:rFonts w:ascii="Bookman Old Style" w:hAnsi="Bookman Old Style" w:cs="Calibri"/>
                <w:color w:val="000000"/>
                <w:sz w:val="20"/>
                <w:szCs w:val="20"/>
                <w:lang w:eastAsia="en-GB"/>
              </w:rPr>
              <w:t>.5</w:t>
            </w:r>
          </w:p>
        </w:tc>
        <w:tc>
          <w:tcPr>
            <w:tcW w:w="1619" w:type="dxa"/>
            <w:tcBorders>
              <w:top w:val="single" w:sz="18" w:space="0" w:color="auto"/>
            </w:tcBorders>
            <w:shd w:val="clear" w:color="auto" w:fill="auto"/>
            <w:vAlign w:val="center"/>
            <w:hideMark/>
          </w:tcPr>
          <w:p w14:paraId="6EB43994" w14:textId="2F2B9028" w:rsidR="008113EB" w:rsidRPr="005D5005" w:rsidRDefault="008113EB" w:rsidP="008113EB">
            <w:pPr>
              <w:spacing w:after="0" w:line="360" w:lineRule="auto"/>
              <w:ind w:firstLineChars="100" w:firstLine="200"/>
              <w:jc w:val="right"/>
              <w:rPr>
                <w:rFonts w:ascii="Bookman Old Style" w:hAnsi="Bookman Old Style" w:cs="Calibri"/>
                <w:color w:val="000000"/>
                <w:sz w:val="20"/>
                <w:szCs w:val="20"/>
                <w:lang w:eastAsia="en-GB"/>
              </w:rPr>
            </w:pPr>
            <w:r>
              <w:rPr>
                <w:rFonts w:ascii="Bookman Old Style" w:hAnsi="Bookman Old Style" w:cs="Calibri"/>
                <w:color w:val="000000"/>
                <w:sz w:val="20"/>
                <w:szCs w:val="20"/>
                <w:lang w:eastAsia="en-GB"/>
              </w:rPr>
              <w:t>20</w:t>
            </w:r>
          </w:p>
        </w:tc>
        <w:tc>
          <w:tcPr>
            <w:tcW w:w="1116" w:type="dxa"/>
            <w:tcBorders>
              <w:top w:val="single" w:sz="18" w:space="0" w:color="auto"/>
            </w:tcBorders>
            <w:shd w:val="clear" w:color="auto" w:fill="auto"/>
            <w:vAlign w:val="center"/>
            <w:hideMark/>
          </w:tcPr>
          <w:p w14:paraId="1311DEDA" w14:textId="3F8D419F" w:rsidR="008113EB" w:rsidRPr="005D5005" w:rsidRDefault="008113EB" w:rsidP="008113EB">
            <w:pPr>
              <w:spacing w:after="0" w:line="360" w:lineRule="auto"/>
              <w:ind w:firstLineChars="100" w:firstLine="200"/>
              <w:jc w:val="right"/>
              <w:rPr>
                <w:rFonts w:ascii="Bookman Old Style" w:hAnsi="Bookman Old Style" w:cs="Calibri"/>
                <w:color w:val="000000"/>
                <w:sz w:val="20"/>
                <w:szCs w:val="20"/>
                <w:lang w:eastAsia="en-GB"/>
              </w:rPr>
            </w:pPr>
            <w:r>
              <w:rPr>
                <w:rFonts w:ascii="Bookman Old Style" w:hAnsi="Bookman Old Style" w:cs="Calibri"/>
                <w:color w:val="000000"/>
                <w:sz w:val="20"/>
                <w:szCs w:val="20"/>
                <w:lang w:eastAsia="en-GB"/>
              </w:rPr>
              <w:t>1</w:t>
            </w:r>
          </w:p>
        </w:tc>
        <w:tc>
          <w:tcPr>
            <w:tcW w:w="1708" w:type="dxa"/>
            <w:tcBorders>
              <w:top w:val="single" w:sz="18" w:space="0" w:color="auto"/>
            </w:tcBorders>
            <w:shd w:val="clear" w:color="auto" w:fill="auto"/>
            <w:vAlign w:val="center"/>
            <w:hideMark/>
          </w:tcPr>
          <w:p w14:paraId="2F9EFCE1" w14:textId="2B13212B" w:rsidR="008113EB" w:rsidRPr="005D5005" w:rsidRDefault="008113EB" w:rsidP="008113EB">
            <w:pPr>
              <w:spacing w:after="0"/>
              <w:ind w:firstLineChars="100" w:firstLine="200"/>
              <w:jc w:val="right"/>
              <w:rPr>
                <w:rFonts w:ascii="Bookman Old Style" w:hAnsi="Bookman Old Style" w:cs="Calibri"/>
                <w:color w:val="000000"/>
                <w:sz w:val="20"/>
                <w:szCs w:val="20"/>
                <w:lang w:eastAsia="en-GB"/>
              </w:rPr>
            </w:pPr>
            <w:r w:rsidRPr="00201AA1">
              <w:rPr>
                <w:rFonts w:ascii="Bookman Old Style" w:hAnsi="Bookman Old Style" w:cs="Calibri"/>
                <w:color w:val="000000"/>
                <w:sz w:val="20"/>
                <w:szCs w:val="20"/>
                <w:lang w:eastAsia="en-GB"/>
              </w:rPr>
              <w:t>Management Fee 0.25% and Commitment fee 0.25%</w:t>
            </w:r>
          </w:p>
        </w:tc>
        <w:tc>
          <w:tcPr>
            <w:tcW w:w="1314" w:type="dxa"/>
            <w:tcBorders>
              <w:top w:val="single" w:sz="18" w:space="0" w:color="auto"/>
            </w:tcBorders>
            <w:shd w:val="clear" w:color="auto" w:fill="auto"/>
            <w:vAlign w:val="center"/>
            <w:hideMark/>
          </w:tcPr>
          <w:p w14:paraId="0158199C" w14:textId="4A29B536" w:rsidR="008113EB" w:rsidRPr="005D5005" w:rsidRDefault="008113EB" w:rsidP="008113EB">
            <w:pPr>
              <w:spacing w:after="0" w:line="360" w:lineRule="auto"/>
              <w:ind w:firstLineChars="100" w:firstLine="200"/>
              <w:jc w:val="right"/>
              <w:rPr>
                <w:rFonts w:ascii="Bookman Old Style" w:hAnsi="Bookman Old Style" w:cs="Calibri"/>
                <w:color w:val="000000"/>
                <w:sz w:val="20"/>
                <w:szCs w:val="20"/>
                <w:lang w:eastAsia="en-GB"/>
              </w:rPr>
            </w:pPr>
            <w:r w:rsidRPr="00201AA1">
              <w:rPr>
                <w:rFonts w:ascii="Bookman Old Style" w:hAnsi="Bookman Old Style" w:cs="Calibri"/>
                <w:color w:val="000000"/>
                <w:sz w:val="20"/>
                <w:szCs w:val="20"/>
                <w:lang w:eastAsia="en-GB"/>
              </w:rPr>
              <w:t>CNY 693</w:t>
            </w:r>
          </w:p>
        </w:tc>
        <w:tc>
          <w:tcPr>
            <w:tcW w:w="983" w:type="dxa"/>
            <w:tcBorders>
              <w:top w:val="single" w:sz="18" w:space="0" w:color="auto"/>
            </w:tcBorders>
            <w:shd w:val="clear" w:color="auto" w:fill="auto"/>
            <w:vAlign w:val="center"/>
            <w:hideMark/>
          </w:tcPr>
          <w:p w14:paraId="2BDB2F4B" w14:textId="747C7306" w:rsidR="008113EB" w:rsidRPr="005D5005" w:rsidRDefault="008113EB" w:rsidP="008113EB">
            <w:pPr>
              <w:spacing w:after="0" w:line="360" w:lineRule="auto"/>
              <w:ind w:firstLineChars="100" w:firstLine="200"/>
              <w:jc w:val="right"/>
              <w:rPr>
                <w:rFonts w:ascii="Bookman Old Style" w:hAnsi="Bookman Old Style" w:cs="Calibri"/>
                <w:color w:val="000000"/>
                <w:sz w:val="20"/>
                <w:szCs w:val="20"/>
                <w:lang w:eastAsia="en-GB"/>
              </w:rPr>
            </w:pPr>
            <w:r>
              <w:rPr>
                <w:rFonts w:ascii="Bookman Old Style" w:hAnsi="Bookman Old Style" w:cs="Calibri"/>
                <w:color w:val="000000"/>
                <w:sz w:val="20"/>
                <w:szCs w:val="20"/>
                <w:lang w:eastAsia="en-GB"/>
              </w:rPr>
              <w:t>99</w:t>
            </w:r>
          </w:p>
        </w:tc>
        <w:tc>
          <w:tcPr>
            <w:tcW w:w="1265" w:type="dxa"/>
            <w:tcBorders>
              <w:top w:val="single" w:sz="18" w:space="0" w:color="auto"/>
            </w:tcBorders>
            <w:shd w:val="clear" w:color="auto" w:fill="auto"/>
            <w:vAlign w:val="center"/>
            <w:hideMark/>
          </w:tcPr>
          <w:p w14:paraId="12B21DE0" w14:textId="65B80A46" w:rsidR="008113EB" w:rsidRPr="005D5005" w:rsidRDefault="008113EB" w:rsidP="008113EB">
            <w:pPr>
              <w:spacing w:after="0" w:line="360" w:lineRule="auto"/>
              <w:ind w:firstLineChars="100" w:firstLine="200"/>
              <w:jc w:val="right"/>
              <w:rPr>
                <w:rFonts w:ascii="Bookman Old Style" w:hAnsi="Bookman Old Style" w:cs="Calibri"/>
                <w:color w:val="000000"/>
                <w:sz w:val="20"/>
                <w:szCs w:val="20"/>
                <w:lang w:eastAsia="en-GB"/>
              </w:rPr>
            </w:pPr>
            <w:r>
              <w:rPr>
                <w:rFonts w:ascii="Bookman Old Style" w:hAnsi="Bookman Old Style" w:cs="Calibri"/>
                <w:color w:val="000000"/>
                <w:sz w:val="20"/>
                <w:szCs w:val="20"/>
                <w:lang w:eastAsia="en-GB"/>
              </w:rPr>
              <w:t>35</w:t>
            </w:r>
          </w:p>
        </w:tc>
      </w:tr>
      <w:tr w:rsidR="00990BB5" w:rsidRPr="005D5005" w14:paraId="4C18BF50" w14:textId="77777777" w:rsidTr="00990BB5">
        <w:trPr>
          <w:trHeight w:val="681"/>
        </w:trPr>
        <w:tc>
          <w:tcPr>
            <w:tcW w:w="2968" w:type="dxa"/>
            <w:shd w:val="clear" w:color="auto" w:fill="auto"/>
            <w:vAlign w:val="center"/>
          </w:tcPr>
          <w:p w14:paraId="0C664F38" w14:textId="66681DB6" w:rsidR="00990BB5" w:rsidRPr="00201AA1" w:rsidRDefault="00990BB5" w:rsidP="00990BB5">
            <w:pPr>
              <w:spacing w:after="0" w:line="360" w:lineRule="auto"/>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Additional Financing for Treatment Works III Project</w:t>
            </w:r>
          </w:p>
        </w:tc>
        <w:tc>
          <w:tcPr>
            <w:tcW w:w="1079" w:type="dxa"/>
            <w:shd w:val="clear" w:color="auto" w:fill="auto"/>
            <w:vAlign w:val="center"/>
          </w:tcPr>
          <w:p w14:paraId="4BF9DCCD" w14:textId="4348B971" w:rsidR="00990BB5" w:rsidRPr="00201AA1" w:rsidRDefault="00990BB5" w:rsidP="00990BB5">
            <w:pPr>
              <w:spacing w:after="0"/>
              <w:jc w:val="lef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EIB</w:t>
            </w:r>
          </w:p>
        </w:tc>
        <w:tc>
          <w:tcPr>
            <w:tcW w:w="1258" w:type="dxa"/>
            <w:shd w:val="clear" w:color="auto" w:fill="auto"/>
            <w:vAlign w:val="center"/>
          </w:tcPr>
          <w:p w14:paraId="4B988CEC" w14:textId="77777777" w:rsidR="00990BB5" w:rsidRPr="00201AA1" w:rsidRDefault="00990BB5" w:rsidP="00990BB5">
            <w:pPr>
              <w:spacing w:after="0" w:line="360" w:lineRule="auto"/>
              <w:jc w:val="right"/>
              <w:rPr>
                <w:rFonts w:ascii="Bookman Old Style" w:hAnsi="Bookman Old Style" w:cs="Calibri"/>
                <w:color w:val="000000"/>
                <w:sz w:val="20"/>
                <w:szCs w:val="20"/>
                <w:lang w:eastAsia="en-GB"/>
              </w:rPr>
            </w:pPr>
          </w:p>
        </w:tc>
        <w:tc>
          <w:tcPr>
            <w:tcW w:w="1357" w:type="dxa"/>
            <w:shd w:val="clear" w:color="auto" w:fill="auto"/>
            <w:vAlign w:val="center"/>
          </w:tcPr>
          <w:p w14:paraId="36631B84" w14:textId="57FEF439" w:rsidR="00990BB5" w:rsidRPr="005D500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5</w:t>
            </w:r>
          </w:p>
        </w:tc>
        <w:tc>
          <w:tcPr>
            <w:tcW w:w="1619" w:type="dxa"/>
            <w:shd w:val="clear" w:color="auto" w:fill="auto"/>
            <w:vAlign w:val="center"/>
          </w:tcPr>
          <w:p w14:paraId="1323725E" w14:textId="6AEC162E" w:rsidR="00990BB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20</w:t>
            </w:r>
          </w:p>
        </w:tc>
        <w:tc>
          <w:tcPr>
            <w:tcW w:w="1116" w:type="dxa"/>
            <w:shd w:val="clear" w:color="auto" w:fill="auto"/>
            <w:vAlign w:val="center"/>
          </w:tcPr>
          <w:p w14:paraId="51E74AB4" w14:textId="7E1BDCFE" w:rsidR="00990BB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1.45</w:t>
            </w:r>
          </w:p>
        </w:tc>
        <w:tc>
          <w:tcPr>
            <w:tcW w:w="1708" w:type="dxa"/>
            <w:shd w:val="clear" w:color="auto" w:fill="auto"/>
            <w:vAlign w:val="center"/>
          </w:tcPr>
          <w:p w14:paraId="3129AAF7" w14:textId="0DF9E6E6" w:rsidR="00990BB5" w:rsidRPr="00201AA1" w:rsidRDefault="00990BB5" w:rsidP="00990BB5">
            <w:pPr>
              <w:spacing w:after="0"/>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 -</w:t>
            </w:r>
          </w:p>
        </w:tc>
        <w:tc>
          <w:tcPr>
            <w:tcW w:w="1314" w:type="dxa"/>
            <w:shd w:val="clear" w:color="auto" w:fill="auto"/>
            <w:vAlign w:val="center"/>
          </w:tcPr>
          <w:p w14:paraId="26909BD3" w14:textId="471BCB50" w:rsidR="00990BB5" w:rsidRPr="00201AA1"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Euro 2.5</w:t>
            </w:r>
          </w:p>
        </w:tc>
        <w:tc>
          <w:tcPr>
            <w:tcW w:w="983" w:type="dxa"/>
            <w:shd w:val="clear" w:color="auto" w:fill="auto"/>
            <w:vAlign w:val="center"/>
          </w:tcPr>
          <w:p w14:paraId="14B6BC2E" w14:textId="10539A07" w:rsidR="00990BB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3.03</w:t>
            </w:r>
          </w:p>
        </w:tc>
        <w:tc>
          <w:tcPr>
            <w:tcW w:w="1265" w:type="dxa"/>
            <w:shd w:val="clear" w:color="auto" w:fill="auto"/>
            <w:vAlign w:val="center"/>
          </w:tcPr>
          <w:p w14:paraId="415DF1F9" w14:textId="7248A979" w:rsidR="00990BB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r w:rsidRPr="005D5005">
              <w:rPr>
                <w:rFonts w:ascii="Bookman Old Style" w:hAnsi="Bookman Old Style" w:cs="Calibri"/>
                <w:color w:val="000000"/>
                <w:sz w:val="20"/>
                <w:szCs w:val="20"/>
                <w:lang w:eastAsia="en-GB"/>
              </w:rPr>
              <w:t>36</w:t>
            </w:r>
          </w:p>
        </w:tc>
      </w:tr>
      <w:tr w:rsidR="00990BB5" w:rsidRPr="005D5005" w14:paraId="6DFB028D" w14:textId="77777777" w:rsidTr="00990BB5">
        <w:trPr>
          <w:trHeight w:val="681"/>
        </w:trPr>
        <w:tc>
          <w:tcPr>
            <w:tcW w:w="2968" w:type="dxa"/>
            <w:shd w:val="clear" w:color="auto" w:fill="D2CAB6" w:themeFill="background2" w:themeFillShade="E6"/>
            <w:vAlign w:val="center"/>
          </w:tcPr>
          <w:p w14:paraId="031ECA9D" w14:textId="68A996FF" w:rsidR="00990BB5" w:rsidRPr="00201AA1" w:rsidRDefault="0053510F" w:rsidP="00990BB5">
            <w:pPr>
              <w:spacing w:after="0" w:line="360" w:lineRule="auto"/>
              <w:jc w:val="left"/>
              <w:rPr>
                <w:rFonts w:ascii="Bookman Old Style" w:hAnsi="Bookman Old Style" w:cs="Calibri"/>
                <w:color w:val="000000"/>
                <w:sz w:val="20"/>
                <w:szCs w:val="20"/>
                <w:lang w:eastAsia="en-GB"/>
              </w:rPr>
            </w:pPr>
            <w:proofErr w:type="gramStart"/>
            <w:r>
              <w:rPr>
                <w:rFonts w:ascii="Bookman Old Style" w:hAnsi="Bookman Old Style" w:cs="Calibri"/>
                <w:b/>
                <w:color w:val="000000"/>
                <w:sz w:val="20"/>
                <w:szCs w:val="20"/>
                <w:lang w:eastAsia="en-GB"/>
              </w:rPr>
              <w:t>Total</w:t>
            </w:r>
            <w:r w:rsidR="00990BB5" w:rsidRPr="00201AA1">
              <w:rPr>
                <w:rFonts w:ascii="Bookman Old Style" w:hAnsi="Bookman Old Style" w:cs="Calibri"/>
                <w:b/>
                <w:color w:val="000000"/>
                <w:sz w:val="20"/>
                <w:szCs w:val="20"/>
                <w:lang w:eastAsia="en-GB"/>
              </w:rPr>
              <w:t xml:space="preserve">  (</w:t>
            </w:r>
            <w:proofErr w:type="gramEnd"/>
            <w:r w:rsidR="00990BB5" w:rsidRPr="00201AA1">
              <w:rPr>
                <w:rFonts w:ascii="Bookman Old Style" w:hAnsi="Bookman Old Style" w:cs="Calibri"/>
                <w:b/>
                <w:color w:val="000000"/>
                <w:sz w:val="20"/>
                <w:szCs w:val="20"/>
                <w:lang w:eastAsia="en-GB"/>
              </w:rPr>
              <w:t>USD)</w:t>
            </w:r>
          </w:p>
        </w:tc>
        <w:tc>
          <w:tcPr>
            <w:tcW w:w="1079" w:type="dxa"/>
            <w:shd w:val="clear" w:color="auto" w:fill="D2CAB6" w:themeFill="background2" w:themeFillShade="E6"/>
            <w:vAlign w:val="center"/>
          </w:tcPr>
          <w:p w14:paraId="4F4F8F66" w14:textId="77777777" w:rsidR="00990BB5" w:rsidRPr="00201AA1" w:rsidRDefault="00990BB5" w:rsidP="00990BB5">
            <w:pPr>
              <w:spacing w:after="0"/>
              <w:jc w:val="left"/>
              <w:rPr>
                <w:rFonts w:ascii="Bookman Old Style" w:hAnsi="Bookman Old Style" w:cs="Calibri"/>
                <w:color w:val="000000"/>
                <w:sz w:val="20"/>
                <w:szCs w:val="20"/>
                <w:lang w:eastAsia="en-GB"/>
              </w:rPr>
            </w:pPr>
          </w:p>
        </w:tc>
        <w:tc>
          <w:tcPr>
            <w:tcW w:w="1258" w:type="dxa"/>
            <w:shd w:val="clear" w:color="auto" w:fill="D2CAB6" w:themeFill="background2" w:themeFillShade="E6"/>
            <w:vAlign w:val="center"/>
          </w:tcPr>
          <w:p w14:paraId="3A3D2165" w14:textId="77777777" w:rsidR="00990BB5" w:rsidRPr="00201AA1"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p>
        </w:tc>
        <w:tc>
          <w:tcPr>
            <w:tcW w:w="1357" w:type="dxa"/>
            <w:shd w:val="clear" w:color="auto" w:fill="D2CAB6" w:themeFill="background2" w:themeFillShade="E6"/>
            <w:vAlign w:val="center"/>
          </w:tcPr>
          <w:p w14:paraId="5636E90C" w14:textId="77777777" w:rsidR="00990BB5" w:rsidRPr="005D500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p>
        </w:tc>
        <w:tc>
          <w:tcPr>
            <w:tcW w:w="1619" w:type="dxa"/>
            <w:shd w:val="clear" w:color="auto" w:fill="D2CAB6" w:themeFill="background2" w:themeFillShade="E6"/>
            <w:vAlign w:val="center"/>
          </w:tcPr>
          <w:p w14:paraId="13974488" w14:textId="77777777" w:rsidR="00990BB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p>
        </w:tc>
        <w:tc>
          <w:tcPr>
            <w:tcW w:w="1116" w:type="dxa"/>
            <w:shd w:val="clear" w:color="auto" w:fill="D2CAB6" w:themeFill="background2" w:themeFillShade="E6"/>
            <w:vAlign w:val="center"/>
          </w:tcPr>
          <w:p w14:paraId="2D2CE0B6" w14:textId="77777777" w:rsidR="00990BB5"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p>
        </w:tc>
        <w:tc>
          <w:tcPr>
            <w:tcW w:w="1708" w:type="dxa"/>
            <w:shd w:val="clear" w:color="auto" w:fill="D2CAB6" w:themeFill="background2" w:themeFillShade="E6"/>
            <w:vAlign w:val="center"/>
          </w:tcPr>
          <w:p w14:paraId="2DB56EA6" w14:textId="77777777" w:rsidR="00990BB5" w:rsidRPr="00201AA1" w:rsidRDefault="00990BB5" w:rsidP="00990BB5">
            <w:pPr>
              <w:spacing w:after="0"/>
              <w:ind w:firstLineChars="100" w:firstLine="200"/>
              <w:jc w:val="right"/>
              <w:rPr>
                <w:rFonts w:ascii="Bookman Old Style" w:hAnsi="Bookman Old Style" w:cs="Calibri"/>
                <w:color w:val="000000"/>
                <w:sz w:val="20"/>
                <w:szCs w:val="20"/>
                <w:lang w:eastAsia="en-GB"/>
              </w:rPr>
            </w:pPr>
          </w:p>
        </w:tc>
        <w:tc>
          <w:tcPr>
            <w:tcW w:w="1314" w:type="dxa"/>
            <w:shd w:val="clear" w:color="auto" w:fill="D2CAB6" w:themeFill="background2" w:themeFillShade="E6"/>
            <w:vAlign w:val="center"/>
          </w:tcPr>
          <w:p w14:paraId="2462A98D" w14:textId="77777777" w:rsidR="00990BB5" w:rsidRPr="00201AA1" w:rsidRDefault="00990BB5" w:rsidP="00990BB5">
            <w:pPr>
              <w:spacing w:after="0" w:line="360" w:lineRule="auto"/>
              <w:ind w:firstLineChars="100" w:firstLine="200"/>
              <w:jc w:val="right"/>
              <w:rPr>
                <w:rFonts w:ascii="Bookman Old Style" w:hAnsi="Bookman Old Style" w:cs="Calibri"/>
                <w:color w:val="000000"/>
                <w:sz w:val="20"/>
                <w:szCs w:val="20"/>
                <w:lang w:eastAsia="en-GB"/>
              </w:rPr>
            </w:pPr>
          </w:p>
        </w:tc>
        <w:tc>
          <w:tcPr>
            <w:tcW w:w="983" w:type="dxa"/>
            <w:shd w:val="clear" w:color="auto" w:fill="D2CAB6" w:themeFill="background2" w:themeFillShade="E6"/>
            <w:vAlign w:val="center"/>
          </w:tcPr>
          <w:p w14:paraId="780F587E" w14:textId="3E334572" w:rsidR="00990BB5" w:rsidRDefault="00990BB5" w:rsidP="00990BB5">
            <w:pPr>
              <w:spacing w:after="0" w:line="360" w:lineRule="auto"/>
              <w:jc w:val="right"/>
              <w:rPr>
                <w:rFonts w:ascii="Bookman Old Style" w:hAnsi="Bookman Old Style" w:cs="Calibri"/>
                <w:color w:val="000000"/>
                <w:sz w:val="20"/>
                <w:szCs w:val="20"/>
                <w:lang w:eastAsia="en-GB"/>
              </w:rPr>
            </w:pPr>
            <w:r>
              <w:rPr>
                <w:rFonts w:ascii="Bookman Old Style" w:hAnsi="Bookman Old Style" w:cs="Calibri"/>
                <w:b/>
                <w:bCs/>
                <w:color w:val="000000"/>
                <w:sz w:val="20"/>
                <w:szCs w:val="20"/>
              </w:rPr>
              <w:t>319.77</w:t>
            </w:r>
          </w:p>
        </w:tc>
        <w:tc>
          <w:tcPr>
            <w:tcW w:w="1265" w:type="dxa"/>
            <w:shd w:val="clear" w:color="auto" w:fill="D2CAB6" w:themeFill="background2" w:themeFillShade="E6"/>
            <w:vAlign w:val="center"/>
          </w:tcPr>
          <w:p w14:paraId="7FC2C48B" w14:textId="77777777" w:rsidR="00990BB5" w:rsidRDefault="00990BB5" w:rsidP="00990BB5">
            <w:pPr>
              <w:spacing w:after="0" w:line="360" w:lineRule="auto"/>
              <w:ind w:firstLineChars="100" w:firstLine="200"/>
              <w:rPr>
                <w:rFonts w:ascii="Bookman Old Style" w:hAnsi="Bookman Old Style" w:cs="Calibri"/>
                <w:color w:val="000000"/>
                <w:sz w:val="20"/>
                <w:szCs w:val="20"/>
                <w:lang w:eastAsia="en-GB"/>
              </w:rPr>
            </w:pPr>
          </w:p>
        </w:tc>
      </w:tr>
    </w:tbl>
    <w:p w14:paraId="0D4CB483" w14:textId="5259B651" w:rsidR="00AD20B0" w:rsidRDefault="008113EB" w:rsidP="00343666">
      <w:pPr>
        <w:spacing w:before="240"/>
      </w:pPr>
      <w:r>
        <w:rPr>
          <w:rFonts w:ascii="Bookman Old Style" w:hAnsi="Bookman Old Style"/>
        </w:rPr>
        <w:t>Source: MoF</w:t>
      </w:r>
      <w:r w:rsidR="00AD6CDA">
        <w:rPr>
          <w:rFonts w:ascii="Bookman Old Style" w:hAnsi="Bookman Old Style"/>
        </w:rPr>
        <w:t xml:space="preserve"> staff calculations.</w:t>
      </w:r>
    </w:p>
    <w:p w14:paraId="64F22BFE" w14:textId="4F48A1D7" w:rsidR="00AD20B0" w:rsidRDefault="00AD20B0" w:rsidP="00A92085"/>
    <w:p w14:paraId="30759158" w14:textId="2E0C153C" w:rsidR="00B12D43" w:rsidRDefault="00B12D43" w:rsidP="00A92085"/>
    <w:p w14:paraId="2097605D" w14:textId="51BF7D14" w:rsidR="00B12D43" w:rsidRDefault="00B12D43" w:rsidP="00A92085"/>
    <w:p w14:paraId="3A2E3824" w14:textId="2286222C" w:rsidR="00B12D43" w:rsidRDefault="00B12D43" w:rsidP="00A92085"/>
    <w:p w14:paraId="0ED9AF6E" w14:textId="7737C7C8" w:rsidR="00B12D43" w:rsidRDefault="00B12D43" w:rsidP="00A92085"/>
    <w:p w14:paraId="31F83E77" w14:textId="4B0BFDB1" w:rsidR="00B12D43" w:rsidRDefault="00B12D43" w:rsidP="00A92085"/>
    <w:p w14:paraId="26105A86" w14:textId="322E8DCA" w:rsidR="00B12D43" w:rsidRDefault="00B12D43" w:rsidP="00A92085"/>
    <w:p w14:paraId="3F024A49" w14:textId="6EE9C547" w:rsidR="00B12D43" w:rsidRDefault="00B12D43" w:rsidP="00A92085"/>
    <w:p w14:paraId="19422EA1" w14:textId="1ECE098E" w:rsidR="00B12D43" w:rsidRDefault="00B12D43" w:rsidP="00A92085"/>
    <w:p w14:paraId="61514767" w14:textId="518B6EC6" w:rsidR="00B12D43" w:rsidRDefault="00B12D43" w:rsidP="00A92085"/>
    <w:p w14:paraId="6D257D31" w14:textId="4BB2AD9C" w:rsidR="00201AA1" w:rsidRDefault="00201AA1" w:rsidP="00A92085"/>
    <w:p w14:paraId="20BB299E" w14:textId="77777777" w:rsidR="00201AA1" w:rsidRDefault="00201AA1" w:rsidP="00A92085"/>
    <w:p w14:paraId="1C366BB2" w14:textId="01B843D9" w:rsidR="00B12D43" w:rsidRDefault="00B12D43" w:rsidP="00A92085"/>
    <w:p w14:paraId="150F89B1" w14:textId="77777777" w:rsidR="00B12D43" w:rsidRDefault="00B12D43" w:rsidP="00A92085"/>
    <w:p w14:paraId="7D489AE7" w14:textId="0680A0EF" w:rsidR="007A214F" w:rsidRPr="007A214F" w:rsidRDefault="007A214F" w:rsidP="007A214F">
      <w:pPr>
        <w:pStyle w:val="Caption"/>
        <w:keepNext/>
        <w:jc w:val="both"/>
        <w:rPr>
          <w:rFonts w:ascii="Bookman Old Style" w:hAnsi="Bookman Old Style"/>
          <w:sz w:val="24"/>
          <w:szCs w:val="24"/>
        </w:rPr>
      </w:pPr>
      <w:bookmarkStart w:id="71" w:name="_Toc88660964"/>
      <w:r w:rsidRPr="007A214F">
        <w:rPr>
          <w:rFonts w:ascii="Bookman Old Style" w:hAnsi="Bookman Old Style"/>
          <w:sz w:val="24"/>
          <w:szCs w:val="24"/>
        </w:rPr>
        <w:lastRenderedPageBreak/>
        <w:t xml:space="preserve">Annex </w:t>
      </w:r>
      <w:r w:rsidRPr="007A214F">
        <w:rPr>
          <w:rFonts w:ascii="Bookman Old Style" w:hAnsi="Bookman Old Style"/>
          <w:sz w:val="24"/>
          <w:szCs w:val="24"/>
        </w:rPr>
        <w:fldChar w:fldCharType="begin"/>
      </w:r>
      <w:r w:rsidRPr="007A214F">
        <w:rPr>
          <w:rFonts w:ascii="Bookman Old Style" w:hAnsi="Bookman Old Style"/>
          <w:sz w:val="24"/>
          <w:szCs w:val="24"/>
        </w:rPr>
        <w:instrText xml:space="preserve"> SEQ Annex \* ARABIC </w:instrText>
      </w:r>
      <w:r w:rsidRPr="007A214F">
        <w:rPr>
          <w:rFonts w:ascii="Bookman Old Style" w:hAnsi="Bookman Old Style"/>
          <w:sz w:val="24"/>
          <w:szCs w:val="24"/>
        </w:rPr>
        <w:fldChar w:fldCharType="separate"/>
      </w:r>
      <w:r w:rsidR="00924FE2">
        <w:rPr>
          <w:rFonts w:ascii="Bookman Old Style" w:hAnsi="Bookman Old Style"/>
          <w:noProof/>
          <w:sz w:val="24"/>
          <w:szCs w:val="24"/>
        </w:rPr>
        <w:t>2</w:t>
      </w:r>
      <w:r w:rsidRPr="007A214F">
        <w:rPr>
          <w:rFonts w:ascii="Bookman Old Style" w:hAnsi="Bookman Old Style"/>
          <w:sz w:val="24"/>
          <w:szCs w:val="24"/>
        </w:rPr>
        <w:fldChar w:fldCharType="end"/>
      </w:r>
      <w:r w:rsidRPr="007A214F">
        <w:rPr>
          <w:rFonts w:ascii="Bookman Old Style" w:hAnsi="Bookman Old Style"/>
          <w:sz w:val="24"/>
          <w:szCs w:val="24"/>
        </w:rPr>
        <w:t>: Loan Guarantees as at end-June 2021</w:t>
      </w:r>
      <w:bookmarkEnd w:id="71"/>
    </w:p>
    <w:tbl>
      <w:tblPr>
        <w:tblW w:w="14632" w:type="dxa"/>
        <w:tblLook w:val="04A0" w:firstRow="1" w:lastRow="0" w:firstColumn="1" w:lastColumn="0" w:noHBand="0" w:noVBand="1"/>
      </w:tblPr>
      <w:tblGrid>
        <w:gridCol w:w="4245"/>
        <w:gridCol w:w="6911"/>
        <w:gridCol w:w="1738"/>
        <w:gridCol w:w="1738"/>
      </w:tblGrid>
      <w:tr w:rsidR="007A214F" w:rsidRPr="007A214F" w14:paraId="2E216003" w14:textId="77777777" w:rsidTr="00B91BE7">
        <w:trPr>
          <w:trHeight w:val="1166"/>
        </w:trPr>
        <w:tc>
          <w:tcPr>
            <w:tcW w:w="4245" w:type="dxa"/>
            <w:tcBorders>
              <w:top w:val="single" w:sz="18" w:space="0" w:color="auto"/>
              <w:left w:val="single" w:sz="18" w:space="0" w:color="auto"/>
              <w:bottom w:val="single" w:sz="18" w:space="0" w:color="auto"/>
              <w:right w:val="nil"/>
            </w:tcBorders>
            <w:shd w:val="clear" w:color="auto" w:fill="B3D5AB" w:themeFill="accent4" w:themeFillTint="66"/>
            <w:noWrap/>
            <w:vAlign w:val="center"/>
            <w:hideMark/>
          </w:tcPr>
          <w:p w14:paraId="3E7E0E5B" w14:textId="77777777" w:rsidR="007A214F" w:rsidRPr="007A214F" w:rsidRDefault="007A214F" w:rsidP="007A214F">
            <w:pPr>
              <w:spacing w:after="0" w:line="360" w:lineRule="auto"/>
              <w:jc w:val="left"/>
              <w:rPr>
                <w:rFonts w:ascii="Bookman Old Style" w:hAnsi="Bookman Old Style" w:cs="Calibri"/>
                <w:b/>
                <w:bCs/>
                <w:color w:val="000000"/>
                <w:sz w:val="20"/>
                <w:szCs w:val="20"/>
                <w:lang w:eastAsia="en-GB"/>
              </w:rPr>
            </w:pPr>
            <w:r w:rsidRPr="007A214F">
              <w:rPr>
                <w:rFonts w:ascii="Bookman Old Style" w:hAnsi="Bookman Old Style" w:cs="Calibri"/>
                <w:b/>
                <w:bCs/>
                <w:color w:val="000000"/>
                <w:sz w:val="20"/>
                <w:szCs w:val="20"/>
                <w:lang w:eastAsia="en-GB"/>
              </w:rPr>
              <w:t>Creditor</w:t>
            </w:r>
          </w:p>
        </w:tc>
        <w:tc>
          <w:tcPr>
            <w:tcW w:w="6911" w:type="dxa"/>
            <w:tcBorders>
              <w:top w:val="single" w:sz="18" w:space="0" w:color="auto"/>
              <w:left w:val="nil"/>
              <w:bottom w:val="single" w:sz="18" w:space="0" w:color="auto"/>
              <w:right w:val="nil"/>
            </w:tcBorders>
            <w:shd w:val="clear" w:color="auto" w:fill="B3D5AB" w:themeFill="accent4" w:themeFillTint="66"/>
            <w:noWrap/>
            <w:vAlign w:val="center"/>
            <w:hideMark/>
          </w:tcPr>
          <w:p w14:paraId="04F9A0EA" w14:textId="77777777" w:rsidR="007A214F" w:rsidRPr="007A214F" w:rsidRDefault="007A214F" w:rsidP="007A214F">
            <w:pPr>
              <w:spacing w:after="0" w:line="360" w:lineRule="auto"/>
              <w:jc w:val="left"/>
              <w:rPr>
                <w:rFonts w:ascii="Bookman Old Style" w:hAnsi="Bookman Old Style" w:cs="Calibri"/>
                <w:b/>
                <w:bCs/>
                <w:color w:val="000000"/>
                <w:sz w:val="20"/>
                <w:szCs w:val="20"/>
                <w:lang w:eastAsia="en-GB"/>
              </w:rPr>
            </w:pPr>
            <w:r w:rsidRPr="007A214F">
              <w:rPr>
                <w:rFonts w:ascii="Bookman Old Style" w:hAnsi="Bookman Old Style" w:cs="Calibri"/>
                <w:b/>
                <w:bCs/>
                <w:color w:val="000000"/>
                <w:sz w:val="20"/>
                <w:szCs w:val="20"/>
                <w:lang w:eastAsia="en-GB"/>
              </w:rPr>
              <w:t>Beneficiary</w:t>
            </w:r>
          </w:p>
        </w:tc>
        <w:tc>
          <w:tcPr>
            <w:tcW w:w="1738" w:type="dxa"/>
            <w:tcBorders>
              <w:top w:val="single" w:sz="18" w:space="0" w:color="auto"/>
              <w:left w:val="nil"/>
              <w:bottom w:val="single" w:sz="18" w:space="0" w:color="auto"/>
              <w:right w:val="nil"/>
            </w:tcBorders>
            <w:shd w:val="clear" w:color="auto" w:fill="B3D5AB" w:themeFill="accent4" w:themeFillTint="66"/>
            <w:vAlign w:val="center"/>
            <w:hideMark/>
          </w:tcPr>
          <w:p w14:paraId="779EDB0A" w14:textId="77777777" w:rsidR="007A214F" w:rsidRPr="007A214F" w:rsidRDefault="007A214F" w:rsidP="007A214F">
            <w:pPr>
              <w:spacing w:after="0" w:line="360" w:lineRule="auto"/>
              <w:jc w:val="center"/>
              <w:rPr>
                <w:rFonts w:ascii="Bookman Old Style" w:hAnsi="Bookman Old Style" w:cs="Calibri"/>
                <w:b/>
                <w:bCs/>
                <w:color w:val="000000"/>
                <w:sz w:val="20"/>
                <w:szCs w:val="20"/>
                <w:lang w:eastAsia="en-GB"/>
              </w:rPr>
            </w:pPr>
            <w:r w:rsidRPr="007A214F">
              <w:rPr>
                <w:rFonts w:ascii="Bookman Old Style" w:hAnsi="Bookman Old Style" w:cs="Calibri"/>
                <w:b/>
                <w:bCs/>
                <w:color w:val="000000"/>
                <w:sz w:val="20"/>
                <w:szCs w:val="20"/>
                <w:lang w:eastAsia="en-GB"/>
              </w:rPr>
              <w:t>Signed Amount</w:t>
            </w:r>
            <w:proofErr w:type="gramStart"/>
            <w:r w:rsidRPr="007A214F">
              <w:rPr>
                <w:rFonts w:ascii="Bookman Old Style" w:hAnsi="Bookman Old Style" w:cs="Calibri"/>
                <w:b/>
                <w:bCs/>
                <w:color w:val="000000"/>
                <w:sz w:val="20"/>
                <w:szCs w:val="20"/>
                <w:lang w:eastAsia="en-GB"/>
              </w:rPr>
              <w:t xml:space="preserve">   (</w:t>
            </w:r>
            <w:proofErr w:type="gramEnd"/>
            <w:r w:rsidRPr="007A214F">
              <w:rPr>
                <w:rFonts w:ascii="Bookman Old Style" w:hAnsi="Bookman Old Style" w:cs="Calibri"/>
                <w:b/>
                <w:bCs/>
                <w:color w:val="000000"/>
                <w:sz w:val="20"/>
                <w:szCs w:val="20"/>
                <w:lang w:eastAsia="en-GB"/>
              </w:rPr>
              <w:t>MK Million)</w:t>
            </w:r>
          </w:p>
        </w:tc>
        <w:tc>
          <w:tcPr>
            <w:tcW w:w="1738" w:type="dxa"/>
            <w:tcBorders>
              <w:top w:val="single" w:sz="18" w:space="0" w:color="auto"/>
              <w:left w:val="nil"/>
              <w:bottom w:val="single" w:sz="18" w:space="0" w:color="auto"/>
              <w:right w:val="single" w:sz="18" w:space="0" w:color="auto"/>
            </w:tcBorders>
            <w:shd w:val="clear" w:color="auto" w:fill="B3D5AB" w:themeFill="accent4" w:themeFillTint="66"/>
            <w:vAlign w:val="center"/>
            <w:hideMark/>
          </w:tcPr>
          <w:p w14:paraId="24460B04" w14:textId="77777777" w:rsidR="007A214F" w:rsidRPr="007A214F" w:rsidRDefault="007A214F" w:rsidP="007A214F">
            <w:pPr>
              <w:spacing w:after="0" w:line="360" w:lineRule="auto"/>
              <w:jc w:val="center"/>
              <w:rPr>
                <w:rFonts w:ascii="Bookman Old Style" w:hAnsi="Bookman Old Style" w:cs="Calibri"/>
                <w:b/>
                <w:bCs/>
                <w:color w:val="000000"/>
                <w:sz w:val="20"/>
                <w:szCs w:val="20"/>
                <w:lang w:eastAsia="en-GB"/>
              </w:rPr>
            </w:pPr>
            <w:r w:rsidRPr="007A214F">
              <w:rPr>
                <w:rFonts w:ascii="Bookman Old Style" w:hAnsi="Bookman Old Style" w:cs="Calibri"/>
                <w:b/>
                <w:bCs/>
                <w:color w:val="000000"/>
                <w:sz w:val="20"/>
                <w:szCs w:val="20"/>
                <w:lang w:eastAsia="en-GB"/>
              </w:rPr>
              <w:t>Contingent Liability</w:t>
            </w:r>
          </w:p>
        </w:tc>
      </w:tr>
      <w:tr w:rsidR="007A214F" w:rsidRPr="007A214F" w14:paraId="5AC41357" w14:textId="77777777" w:rsidTr="00B91BE7">
        <w:trPr>
          <w:trHeight w:val="314"/>
        </w:trPr>
        <w:tc>
          <w:tcPr>
            <w:tcW w:w="4245" w:type="dxa"/>
            <w:tcBorders>
              <w:top w:val="single" w:sz="18" w:space="0" w:color="auto"/>
              <w:left w:val="single" w:sz="18" w:space="0" w:color="auto"/>
              <w:bottom w:val="nil"/>
              <w:right w:val="nil"/>
            </w:tcBorders>
            <w:shd w:val="clear" w:color="auto" w:fill="auto"/>
            <w:noWrap/>
            <w:vAlign w:val="center"/>
            <w:hideMark/>
          </w:tcPr>
          <w:p w14:paraId="516D1879" w14:textId="77A94802" w:rsidR="007A214F" w:rsidRPr="007A214F" w:rsidRDefault="00424209" w:rsidP="007A214F">
            <w:pPr>
              <w:spacing w:after="0" w:line="360" w:lineRule="auto"/>
              <w:jc w:val="left"/>
              <w:rPr>
                <w:rFonts w:ascii="Bookman Old Style" w:hAnsi="Bookman Old Style" w:cs="Calibri"/>
                <w:color w:val="000000"/>
                <w:sz w:val="20"/>
                <w:szCs w:val="20"/>
                <w:lang w:eastAsia="en-GB"/>
              </w:rPr>
            </w:pPr>
            <w:r>
              <w:rPr>
                <w:rFonts w:ascii="Bookman Old Style" w:hAnsi="Bookman Old Style" w:cs="Calibri"/>
                <w:color w:val="000000"/>
                <w:sz w:val="20"/>
                <w:szCs w:val="20"/>
                <w:lang w:eastAsia="en-GB"/>
              </w:rPr>
              <w:t xml:space="preserve">NBS Bank </w:t>
            </w:r>
          </w:p>
        </w:tc>
        <w:tc>
          <w:tcPr>
            <w:tcW w:w="6911" w:type="dxa"/>
            <w:tcBorders>
              <w:top w:val="single" w:sz="18" w:space="0" w:color="auto"/>
              <w:left w:val="nil"/>
              <w:bottom w:val="nil"/>
              <w:right w:val="nil"/>
            </w:tcBorders>
            <w:shd w:val="clear" w:color="auto" w:fill="auto"/>
            <w:noWrap/>
            <w:vAlign w:val="center"/>
            <w:hideMark/>
          </w:tcPr>
          <w:p w14:paraId="6150BB70"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 xml:space="preserve">Electricity Supply Commission of Malawi      </w:t>
            </w:r>
          </w:p>
        </w:tc>
        <w:tc>
          <w:tcPr>
            <w:tcW w:w="1738" w:type="dxa"/>
            <w:tcBorders>
              <w:top w:val="single" w:sz="18" w:space="0" w:color="auto"/>
              <w:left w:val="nil"/>
              <w:bottom w:val="nil"/>
              <w:right w:val="nil"/>
            </w:tcBorders>
            <w:shd w:val="clear" w:color="auto" w:fill="auto"/>
            <w:noWrap/>
            <w:vAlign w:val="center"/>
            <w:hideMark/>
          </w:tcPr>
          <w:p w14:paraId="71339D96"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33,600.00</w:t>
            </w:r>
          </w:p>
        </w:tc>
        <w:tc>
          <w:tcPr>
            <w:tcW w:w="1738" w:type="dxa"/>
            <w:tcBorders>
              <w:top w:val="single" w:sz="18" w:space="0" w:color="auto"/>
              <w:left w:val="nil"/>
              <w:bottom w:val="nil"/>
              <w:right w:val="single" w:sz="18" w:space="0" w:color="auto"/>
            </w:tcBorders>
            <w:shd w:val="clear" w:color="auto" w:fill="auto"/>
            <w:noWrap/>
            <w:vAlign w:val="center"/>
            <w:hideMark/>
          </w:tcPr>
          <w:p w14:paraId="643184E4"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20,753.23</w:t>
            </w:r>
          </w:p>
        </w:tc>
      </w:tr>
      <w:tr w:rsidR="007A214F" w:rsidRPr="007A214F" w14:paraId="6CD5D578"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2F26DBC1" w14:textId="343C735B" w:rsidR="007A214F" w:rsidRPr="007A214F" w:rsidRDefault="007A214F" w:rsidP="00424209">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C</w:t>
            </w:r>
            <w:r w:rsidR="00424209">
              <w:rPr>
                <w:rFonts w:ascii="Bookman Old Style" w:hAnsi="Bookman Old Style" w:cs="Calibri"/>
                <w:color w:val="000000"/>
                <w:sz w:val="20"/>
                <w:szCs w:val="20"/>
                <w:lang w:eastAsia="en-GB"/>
              </w:rPr>
              <w:t xml:space="preserve">DH Investment Bank </w:t>
            </w:r>
          </w:p>
        </w:tc>
        <w:tc>
          <w:tcPr>
            <w:tcW w:w="6911" w:type="dxa"/>
            <w:tcBorders>
              <w:top w:val="nil"/>
              <w:left w:val="nil"/>
              <w:bottom w:val="nil"/>
              <w:right w:val="nil"/>
            </w:tcBorders>
            <w:shd w:val="clear" w:color="auto" w:fill="auto"/>
            <w:noWrap/>
            <w:vAlign w:val="center"/>
            <w:hideMark/>
          </w:tcPr>
          <w:p w14:paraId="00C94B37"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Agricultural Development and Marketing Corporation</w:t>
            </w:r>
          </w:p>
        </w:tc>
        <w:tc>
          <w:tcPr>
            <w:tcW w:w="1738" w:type="dxa"/>
            <w:tcBorders>
              <w:top w:val="nil"/>
              <w:left w:val="nil"/>
              <w:bottom w:val="nil"/>
              <w:right w:val="nil"/>
            </w:tcBorders>
            <w:shd w:val="clear" w:color="auto" w:fill="auto"/>
            <w:noWrap/>
            <w:vAlign w:val="center"/>
            <w:hideMark/>
          </w:tcPr>
          <w:p w14:paraId="45573720"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35,138.17</w:t>
            </w:r>
          </w:p>
        </w:tc>
        <w:tc>
          <w:tcPr>
            <w:tcW w:w="1738" w:type="dxa"/>
            <w:tcBorders>
              <w:top w:val="nil"/>
              <w:left w:val="nil"/>
              <w:bottom w:val="nil"/>
              <w:right w:val="single" w:sz="18" w:space="0" w:color="auto"/>
            </w:tcBorders>
            <w:shd w:val="clear" w:color="auto" w:fill="auto"/>
            <w:noWrap/>
            <w:vAlign w:val="center"/>
            <w:hideMark/>
          </w:tcPr>
          <w:p w14:paraId="3DEA9EAB"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30,899.51</w:t>
            </w:r>
          </w:p>
        </w:tc>
      </w:tr>
      <w:tr w:rsidR="007A214F" w:rsidRPr="007A214F" w14:paraId="4DB4FD40"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626B4425"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Export Development Fund (EDF)</w:t>
            </w:r>
          </w:p>
        </w:tc>
        <w:tc>
          <w:tcPr>
            <w:tcW w:w="6911" w:type="dxa"/>
            <w:tcBorders>
              <w:top w:val="nil"/>
              <w:left w:val="nil"/>
              <w:bottom w:val="nil"/>
              <w:right w:val="nil"/>
            </w:tcBorders>
            <w:shd w:val="clear" w:color="auto" w:fill="auto"/>
            <w:noWrap/>
            <w:vAlign w:val="center"/>
            <w:hideMark/>
          </w:tcPr>
          <w:p w14:paraId="48221A7B"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Agricultural Development and Marketing Corporation</w:t>
            </w:r>
          </w:p>
        </w:tc>
        <w:tc>
          <w:tcPr>
            <w:tcW w:w="1738" w:type="dxa"/>
            <w:tcBorders>
              <w:top w:val="nil"/>
              <w:left w:val="nil"/>
              <w:bottom w:val="nil"/>
              <w:right w:val="nil"/>
            </w:tcBorders>
            <w:shd w:val="clear" w:color="auto" w:fill="auto"/>
            <w:noWrap/>
            <w:vAlign w:val="center"/>
            <w:hideMark/>
          </w:tcPr>
          <w:p w14:paraId="5F5EAEC2"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10,000.00</w:t>
            </w:r>
          </w:p>
        </w:tc>
        <w:tc>
          <w:tcPr>
            <w:tcW w:w="1738" w:type="dxa"/>
            <w:tcBorders>
              <w:top w:val="nil"/>
              <w:left w:val="nil"/>
              <w:bottom w:val="nil"/>
              <w:right w:val="single" w:sz="18" w:space="0" w:color="auto"/>
            </w:tcBorders>
            <w:shd w:val="clear" w:color="auto" w:fill="auto"/>
            <w:noWrap/>
            <w:vAlign w:val="center"/>
            <w:hideMark/>
          </w:tcPr>
          <w:p w14:paraId="4E632CA8"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9,273.51</w:t>
            </w:r>
          </w:p>
        </w:tc>
      </w:tr>
      <w:tr w:rsidR="007A214F" w:rsidRPr="007A214F" w14:paraId="18A7C779"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33646062" w14:textId="0E224300" w:rsidR="007A214F" w:rsidRPr="007A214F" w:rsidRDefault="00424209"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C</w:t>
            </w:r>
            <w:r>
              <w:rPr>
                <w:rFonts w:ascii="Bookman Old Style" w:hAnsi="Bookman Old Style" w:cs="Calibri"/>
                <w:color w:val="000000"/>
                <w:sz w:val="20"/>
                <w:szCs w:val="20"/>
                <w:lang w:eastAsia="en-GB"/>
              </w:rPr>
              <w:t>DH Investment Bank</w:t>
            </w:r>
          </w:p>
        </w:tc>
        <w:tc>
          <w:tcPr>
            <w:tcW w:w="6911" w:type="dxa"/>
            <w:tcBorders>
              <w:top w:val="nil"/>
              <w:left w:val="nil"/>
              <w:bottom w:val="nil"/>
              <w:right w:val="nil"/>
            </w:tcBorders>
            <w:shd w:val="clear" w:color="auto" w:fill="auto"/>
            <w:noWrap/>
            <w:vAlign w:val="center"/>
            <w:hideMark/>
          </w:tcPr>
          <w:p w14:paraId="2CD26B2A"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proofErr w:type="gramStart"/>
            <w:r w:rsidRPr="007A214F">
              <w:rPr>
                <w:rFonts w:ascii="Bookman Old Style" w:hAnsi="Bookman Old Style" w:cs="Calibri"/>
                <w:color w:val="000000"/>
                <w:sz w:val="20"/>
                <w:szCs w:val="20"/>
                <w:lang w:eastAsia="en-GB"/>
              </w:rPr>
              <w:t>Greenbelt  Authority</w:t>
            </w:r>
            <w:proofErr w:type="gramEnd"/>
            <w:r w:rsidRPr="007A214F">
              <w:rPr>
                <w:rFonts w:ascii="Bookman Old Style" w:hAnsi="Bookman Old Style" w:cs="Calibri"/>
                <w:color w:val="000000"/>
                <w:sz w:val="20"/>
                <w:szCs w:val="20"/>
                <w:lang w:eastAsia="en-GB"/>
              </w:rPr>
              <w:t xml:space="preserve"> </w:t>
            </w:r>
          </w:p>
        </w:tc>
        <w:tc>
          <w:tcPr>
            <w:tcW w:w="1738" w:type="dxa"/>
            <w:tcBorders>
              <w:top w:val="nil"/>
              <w:left w:val="nil"/>
              <w:bottom w:val="nil"/>
              <w:right w:val="nil"/>
            </w:tcBorders>
            <w:shd w:val="clear" w:color="auto" w:fill="auto"/>
            <w:noWrap/>
            <w:vAlign w:val="center"/>
            <w:hideMark/>
          </w:tcPr>
          <w:p w14:paraId="1F6602C0"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5,213.40</w:t>
            </w:r>
          </w:p>
        </w:tc>
        <w:tc>
          <w:tcPr>
            <w:tcW w:w="1738" w:type="dxa"/>
            <w:tcBorders>
              <w:top w:val="nil"/>
              <w:left w:val="nil"/>
              <w:bottom w:val="nil"/>
              <w:right w:val="single" w:sz="18" w:space="0" w:color="auto"/>
            </w:tcBorders>
            <w:shd w:val="clear" w:color="auto" w:fill="auto"/>
            <w:noWrap/>
            <w:vAlign w:val="center"/>
            <w:hideMark/>
          </w:tcPr>
          <w:p w14:paraId="27844715"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5,213.40</w:t>
            </w:r>
          </w:p>
        </w:tc>
      </w:tr>
      <w:tr w:rsidR="007A214F" w:rsidRPr="007A214F" w14:paraId="1D3E7BBC"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779C3470" w14:textId="537121C7" w:rsidR="007A214F" w:rsidRPr="007A214F" w:rsidRDefault="00424209"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C</w:t>
            </w:r>
            <w:r>
              <w:rPr>
                <w:rFonts w:ascii="Bookman Old Style" w:hAnsi="Bookman Old Style" w:cs="Calibri"/>
                <w:color w:val="000000"/>
                <w:sz w:val="20"/>
                <w:szCs w:val="20"/>
                <w:lang w:eastAsia="en-GB"/>
              </w:rPr>
              <w:t>DH Investment Bank</w:t>
            </w:r>
          </w:p>
        </w:tc>
        <w:tc>
          <w:tcPr>
            <w:tcW w:w="6911" w:type="dxa"/>
            <w:tcBorders>
              <w:top w:val="nil"/>
              <w:left w:val="nil"/>
              <w:bottom w:val="nil"/>
              <w:right w:val="nil"/>
            </w:tcBorders>
            <w:shd w:val="clear" w:color="auto" w:fill="auto"/>
            <w:noWrap/>
            <w:vAlign w:val="center"/>
            <w:hideMark/>
          </w:tcPr>
          <w:p w14:paraId="3E949177"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Salima Sugar</w:t>
            </w:r>
          </w:p>
        </w:tc>
        <w:tc>
          <w:tcPr>
            <w:tcW w:w="1738" w:type="dxa"/>
            <w:tcBorders>
              <w:top w:val="nil"/>
              <w:left w:val="nil"/>
              <w:bottom w:val="nil"/>
              <w:right w:val="nil"/>
            </w:tcBorders>
            <w:shd w:val="clear" w:color="auto" w:fill="auto"/>
            <w:noWrap/>
            <w:vAlign w:val="center"/>
            <w:hideMark/>
          </w:tcPr>
          <w:p w14:paraId="649D67E8"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25,000.00</w:t>
            </w:r>
          </w:p>
        </w:tc>
        <w:tc>
          <w:tcPr>
            <w:tcW w:w="1738" w:type="dxa"/>
            <w:tcBorders>
              <w:top w:val="nil"/>
              <w:left w:val="nil"/>
              <w:bottom w:val="nil"/>
              <w:right w:val="single" w:sz="18" w:space="0" w:color="auto"/>
            </w:tcBorders>
            <w:shd w:val="clear" w:color="auto" w:fill="auto"/>
            <w:noWrap/>
            <w:vAlign w:val="center"/>
            <w:hideMark/>
          </w:tcPr>
          <w:p w14:paraId="05A81BC8"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18,449.17</w:t>
            </w:r>
          </w:p>
        </w:tc>
      </w:tr>
      <w:tr w:rsidR="007A214F" w:rsidRPr="007A214F" w14:paraId="6AA6CEF2"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011D97FE"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 xml:space="preserve">FDH Bank </w:t>
            </w:r>
            <w:proofErr w:type="gramStart"/>
            <w:r w:rsidRPr="007A214F">
              <w:rPr>
                <w:rFonts w:ascii="Bookman Old Style" w:hAnsi="Bookman Old Style" w:cs="Calibri"/>
                <w:color w:val="000000"/>
                <w:sz w:val="20"/>
                <w:szCs w:val="20"/>
                <w:lang w:eastAsia="en-GB"/>
              </w:rPr>
              <w:t>and  EDF</w:t>
            </w:r>
            <w:proofErr w:type="gramEnd"/>
          </w:p>
        </w:tc>
        <w:tc>
          <w:tcPr>
            <w:tcW w:w="6911" w:type="dxa"/>
            <w:tcBorders>
              <w:top w:val="nil"/>
              <w:left w:val="nil"/>
              <w:bottom w:val="nil"/>
              <w:right w:val="nil"/>
            </w:tcBorders>
            <w:shd w:val="clear" w:color="auto" w:fill="auto"/>
            <w:noWrap/>
            <w:vAlign w:val="center"/>
            <w:hideMark/>
          </w:tcPr>
          <w:p w14:paraId="675CA3B1"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 xml:space="preserve">National Economic Empowerment Fund Limited </w:t>
            </w:r>
          </w:p>
        </w:tc>
        <w:tc>
          <w:tcPr>
            <w:tcW w:w="1738" w:type="dxa"/>
            <w:tcBorders>
              <w:top w:val="nil"/>
              <w:left w:val="nil"/>
              <w:bottom w:val="nil"/>
              <w:right w:val="nil"/>
            </w:tcBorders>
            <w:shd w:val="clear" w:color="auto" w:fill="auto"/>
            <w:noWrap/>
            <w:vAlign w:val="center"/>
            <w:hideMark/>
          </w:tcPr>
          <w:p w14:paraId="6800B4E3"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13,000.00</w:t>
            </w:r>
          </w:p>
        </w:tc>
        <w:tc>
          <w:tcPr>
            <w:tcW w:w="1738" w:type="dxa"/>
            <w:tcBorders>
              <w:top w:val="nil"/>
              <w:left w:val="nil"/>
              <w:bottom w:val="nil"/>
              <w:right w:val="single" w:sz="18" w:space="0" w:color="auto"/>
            </w:tcBorders>
            <w:shd w:val="clear" w:color="auto" w:fill="auto"/>
            <w:noWrap/>
            <w:vAlign w:val="center"/>
            <w:hideMark/>
          </w:tcPr>
          <w:p w14:paraId="7E2849DE"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12,335.84</w:t>
            </w:r>
          </w:p>
        </w:tc>
      </w:tr>
      <w:tr w:rsidR="007A214F" w:rsidRPr="007A214F" w14:paraId="63F788D4"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1C5DF927" w14:textId="3629B3C6" w:rsidR="007A214F" w:rsidRPr="007A214F" w:rsidRDefault="00424209"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C</w:t>
            </w:r>
            <w:r>
              <w:rPr>
                <w:rFonts w:ascii="Bookman Old Style" w:hAnsi="Bookman Old Style" w:cs="Calibri"/>
                <w:color w:val="000000"/>
                <w:sz w:val="20"/>
                <w:szCs w:val="20"/>
                <w:lang w:eastAsia="en-GB"/>
              </w:rPr>
              <w:t>DH Investment Bank</w:t>
            </w:r>
          </w:p>
        </w:tc>
        <w:tc>
          <w:tcPr>
            <w:tcW w:w="6911" w:type="dxa"/>
            <w:tcBorders>
              <w:top w:val="nil"/>
              <w:left w:val="nil"/>
              <w:bottom w:val="nil"/>
              <w:right w:val="nil"/>
            </w:tcBorders>
            <w:shd w:val="clear" w:color="auto" w:fill="auto"/>
            <w:noWrap/>
            <w:vAlign w:val="center"/>
            <w:hideMark/>
          </w:tcPr>
          <w:p w14:paraId="5C2BFB79"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Auction Holdings Limited</w:t>
            </w:r>
          </w:p>
        </w:tc>
        <w:tc>
          <w:tcPr>
            <w:tcW w:w="1738" w:type="dxa"/>
            <w:tcBorders>
              <w:top w:val="nil"/>
              <w:left w:val="nil"/>
              <w:bottom w:val="nil"/>
              <w:right w:val="nil"/>
            </w:tcBorders>
            <w:shd w:val="clear" w:color="auto" w:fill="auto"/>
            <w:noWrap/>
            <w:vAlign w:val="center"/>
            <w:hideMark/>
          </w:tcPr>
          <w:p w14:paraId="1E5B348A"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19,264.46</w:t>
            </w:r>
          </w:p>
        </w:tc>
        <w:tc>
          <w:tcPr>
            <w:tcW w:w="1738" w:type="dxa"/>
            <w:tcBorders>
              <w:top w:val="nil"/>
              <w:left w:val="nil"/>
              <w:bottom w:val="nil"/>
              <w:right w:val="single" w:sz="18" w:space="0" w:color="auto"/>
            </w:tcBorders>
            <w:shd w:val="clear" w:color="auto" w:fill="auto"/>
            <w:noWrap/>
            <w:vAlign w:val="center"/>
            <w:hideMark/>
          </w:tcPr>
          <w:p w14:paraId="2BFB54F8"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19,264.46</w:t>
            </w:r>
          </w:p>
        </w:tc>
      </w:tr>
      <w:tr w:rsidR="007A214F" w:rsidRPr="007A214F" w14:paraId="29957425"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2A492BF2" w14:textId="23D52F0C" w:rsidR="007A214F" w:rsidRPr="007A214F" w:rsidRDefault="00424209"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C</w:t>
            </w:r>
            <w:r>
              <w:rPr>
                <w:rFonts w:ascii="Bookman Old Style" w:hAnsi="Bookman Old Style" w:cs="Calibri"/>
                <w:color w:val="000000"/>
                <w:sz w:val="20"/>
                <w:szCs w:val="20"/>
                <w:lang w:eastAsia="en-GB"/>
              </w:rPr>
              <w:t>DH Investment Bank</w:t>
            </w:r>
          </w:p>
        </w:tc>
        <w:tc>
          <w:tcPr>
            <w:tcW w:w="6911" w:type="dxa"/>
            <w:tcBorders>
              <w:top w:val="nil"/>
              <w:left w:val="nil"/>
              <w:bottom w:val="nil"/>
              <w:right w:val="nil"/>
            </w:tcBorders>
            <w:shd w:val="clear" w:color="auto" w:fill="auto"/>
            <w:noWrap/>
            <w:vAlign w:val="center"/>
            <w:hideMark/>
          </w:tcPr>
          <w:p w14:paraId="5427B137" w14:textId="77777777" w:rsidR="007A214F" w:rsidRPr="007A214F" w:rsidRDefault="007A214F" w:rsidP="007A214F">
            <w:pPr>
              <w:spacing w:after="0" w:line="360" w:lineRule="auto"/>
              <w:jc w:val="lef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Umodzi Holdings Limited</w:t>
            </w:r>
          </w:p>
        </w:tc>
        <w:tc>
          <w:tcPr>
            <w:tcW w:w="1738" w:type="dxa"/>
            <w:tcBorders>
              <w:top w:val="nil"/>
              <w:left w:val="nil"/>
              <w:bottom w:val="nil"/>
              <w:right w:val="nil"/>
            </w:tcBorders>
            <w:shd w:val="clear" w:color="auto" w:fill="auto"/>
            <w:noWrap/>
            <w:vAlign w:val="center"/>
            <w:hideMark/>
          </w:tcPr>
          <w:p w14:paraId="11C65DB4"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3,227.14</w:t>
            </w:r>
          </w:p>
        </w:tc>
        <w:tc>
          <w:tcPr>
            <w:tcW w:w="1738" w:type="dxa"/>
            <w:tcBorders>
              <w:top w:val="nil"/>
              <w:left w:val="nil"/>
              <w:bottom w:val="nil"/>
              <w:right w:val="single" w:sz="18" w:space="0" w:color="auto"/>
            </w:tcBorders>
            <w:shd w:val="clear" w:color="auto" w:fill="auto"/>
            <w:noWrap/>
            <w:vAlign w:val="center"/>
            <w:hideMark/>
          </w:tcPr>
          <w:p w14:paraId="02058A40"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r w:rsidRPr="007A214F">
              <w:rPr>
                <w:rFonts w:ascii="Bookman Old Style" w:hAnsi="Bookman Old Style" w:cs="Calibri"/>
                <w:color w:val="000000"/>
                <w:sz w:val="20"/>
                <w:szCs w:val="20"/>
                <w:lang w:eastAsia="en-GB"/>
              </w:rPr>
              <w:t>3,227.14</w:t>
            </w:r>
          </w:p>
        </w:tc>
      </w:tr>
      <w:tr w:rsidR="007A214F" w:rsidRPr="007A214F" w14:paraId="2D064331" w14:textId="77777777" w:rsidTr="00551FA8">
        <w:trPr>
          <w:trHeight w:val="314"/>
        </w:trPr>
        <w:tc>
          <w:tcPr>
            <w:tcW w:w="4245" w:type="dxa"/>
            <w:tcBorders>
              <w:top w:val="nil"/>
              <w:left w:val="single" w:sz="18" w:space="0" w:color="auto"/>
              <w:bottom w:val="nil"/>
              <w:right w:val="nil"/>
            </w:tcBorders>
            <w:shd w:val="clear" w:color="auto" w:fill="auto"/>
            <w:noWrap/>
            <w:vAlign w:val="center"/>
            <w:hideMark/>
          </w:tcPr>
          <w:p w14:paraId="65958070" w14:textId="77777777" w:rsidR="007A214F" w:rsidRPr="007A214F" w:rsidRDefault="007A214F" w:rsidP="007A214F">
            <w:pPr>
              <w:spacing w:after="0" w:line="360" w:lineRule="auto"/>
              <w:jc w:val="right"/>
              <w:rPr>
                <w:rFonts w:ascii="Bookman Old Style" w:hAnsi="Bookman Old Style" w:cs="Calibri"/>
                <w:color w:val="000000"/>
                <w:sz w:val="20"/>
                <w:szCs w:val="20"/>
                <w:lang w:eastAsia="en-GB"/>
              </w:rPr>
            </w:pPr>
          </w:p>
        </w:tc>
        <w:tc>
          <w:tcPr>
            <w:tcW w:w="6911" w:type="dxa"/>
            <w:tcBorders>
              <w:top w:val="nil"/>
              <w:left w:val="nil"/>
              <w:bottom w:val="nil"/>
              <w:right w:val="nil"/>
            </w:tcBorders>
            <w:shd w:val="clear" w:color="auto" w:fill="auto"/>
            <w:noWrap/>
            <w:vAlign w:val="center"/>
            <w:hideMark/>
          </w:tcPr>
          <w:p w14:paraId="336D4718" w14:textId="77777777" w:rsidR="007A214F" w:rsidRPr="007A214F" w:rsidRDefault="007A214F" w:rsidP="007A214F">
            <w:pPr>
              <w:spacing w:after="0" w:line="360" w:lineRule="auto"/>
              <w:jc w:val="left"/>
              <w:rPr>
                <w:sz w:val="20"/>
                <w:szCs w:val="20"/>
                <w:lang w:eastAsia="en-GB"/>
              </w:rPr>
            </w:pPr>
          </w:p>
        </w:tc>
        <w:tc>
          <w:tcPr>
            <w:tcW w:w="1738" w:type="dxa"/>
            <w:tcBorders>
              <w:top w:val="nil"/>
              <w:left w:val="nil"/>
              <w:bottom w:val="nil"/>
              <w:right w:val="nil"/>
            </w:tcBorders>
            <w:shd w:val="clear" w:color="auto" w:fill="auto"/>
            <w:noWrap/>
            <w:vAlign w:val="center"/>
            <w:hideMark/>
          </w:tcPr>
          <w:p w14:paraId="024D279C" w14:textId="77777777" w:rsidR="007A214F" w:rsidRPr="007A214F" w:rsidRDefault="007A214F" w:rsidP="007A214F">
            <w:pPr>
              <w:spacing w:after="0" w:line="360" w:lineRule="auto"/>
              <w:ind w:firstLineChars="100" w:firstLine="200"/>
              <w:jc w:val="right"/>
              <w:rPr>
                <w:sz w:val="20"/>
                <w:szCs w:val="20"/>
                <w:lang w:eastAsia="en-GB"/>
              </w:rPr>
            </w:pPr>
          </w:p>
        </w:tc>
        <w:tc>
          <w:tcPr>
            <w:tcW w:w="1738" w:type="dxa"/>
            <w:tcBorders>
              <w:top w:val="nil"/>
              <w:left w:val="nil"/>
              <w:bottom w:val="nil"/>
              <w:right w:val="single" w:sz="18" w:space="0" w:color="auto"/>
            </w:tcBorders>
            <w:shd w:val="clear" w:color="auto" w:fill="auto"/>
            <w:noWrap/>
            <w:vAlign w:val="center"/>
            <w:hideMark/>
          </w:tcPr>
          <w:p w14:paraId="64F52E83" w14:textId="77777777" w:rsidR="007A214F" w:rsidRPr="007A214F" w:rsidRDefault="007A214F" w:rsidP="007A214F">
            <w:pPr>
              <w:spacing w:after="0" w:line="360" w:lineRule="auto"/>
              <w:jc w:val="right"/>
              <w:rPr>
                <w:sz w:val="20"/>
                <w:szCs w:val="20"/>
                <w:lang w:eastAsia="en-GB"/>
              </w:rPr>
            </w:pPr>
          </w:p>
        </w:tc>
      </w:tr>
      <w:tr w:rsidR="007A214F" w:rsidRPr="007A214F" w14:paraId="18B6B6F4" w14:textId="77777777" w:rsidTr="00551FA8">
        <w:trPr>
          <w:trHeight w:val="326"/>
        </w:trPr>
        <w:tc>
          <w:tcPr>
            <w:tcW w:w="4245" w:type="dxa"/>
            <w:tcBorders>
              <w:top w:val="nil"/>
              <w:left w:val="single" w:sz="18" w:space="0" w:color="auto"/>
              <w:bottom w:val="nil"/>
              <w:right w:val="nil"/>
            </w:tcBorders>
            <w:shd w:val="clear" w:color="auto" w:fill="D2CAB6" w:themeFill="background2" w:themeFillShade="E6"/>
            <w:noWrap/>
            <w:vAlign w:val="center"/>
            <w:hideMark/>
          </w:tcPr>
          <w:p w14:paraId="644C72FC" w14:textId="1D303531" w:rsidR="007A214F" w:rsidRPr="007A214F" w:rsidRDefault="0053510F" w:rsidP="007A214F">
            <w:pPr>
              <w:spacing w:after="0" w:line="360" w:lineRule="auto"/>
              <w:jc w:val="left"/>
              <w:rPr>
                <w:rFonts w:ascii="Bookman Old Style" w:hAnsi="Bookman Old Style" w:cs="Calibri"/>
                <w:b/>
                <w:bCs/>
                <w:color w:val="000000"/>
                <w:sz w:val="20"/>
                <w:szCs w:val="20"/>
                <w:lang w:eastAsia="en-GB"/>
              </w:rPr>
            </w:pPr>
            <w:r>
              <w:rPr>
                <w:rFonts w:ascii="Bookman Old Style" w:hAnsi="Bookman Old Style" w:cs="Calibri"/>
                <w:b/>
                <w:bCs/>
                <w:color w:val="000000"/>
                <w:sz w:val="20"/>
                <w:szCs w:val="20"/>
                <w:lang w:eastAsia="en-GB"/>
              </w:rPr>
              <w:t>Total</w:t>
            </w:r>
          </w:p>
        </w:tc>
        <w:tc>
          <w:tcPr>
            <w:tcW w:w="6911" w:type="dxa"/>
            <w:tcBorders>
              <w:top w:val="nil"/>
              <w:left w:val="nil"/>
              <w:bottom w:val="nil"/>
              <w:right w:val="nil"/>
            </w:tcBorders>
            <w:shd w:val="clear" w:color="auto" w:fill="D2CAB6" w:themeFill="background2" w:themeFillShade="E6"/>
            <w:noWrap/>
            <w:vAlign w:val="center"/>
            <w:hideMark/>
          </w:tcPr>
          <w:p w14:paraId="63E412A0" w14:textId="77777777" w:rsidR="007A214F" w:rsidRPr="007A214F" w:rsidRDefault="007A214F" w:rsidP="007A214F">
            <w:pPr>
              <w:spacing w:after="0" w:line="360" w:lineRule="auto"/>
              <w:jc w:val="left"/>
              <w:rPr>
                <w:rFonts w:ascii="Bookman Old Style" w:hAnsi="Bookman Old Style" w:cs="Calibri"/>
                <w:b/>
                <w:bCs/>
                <w:color w:val="000000"/>
                <w:sz w:val="20"/>
                <w:szCs w:val="20"/>
                <w:lang w:eastAsia="en-GB"/>
              </w:rPr>
            </w:pPr>
            <w:r w:rsidRPr="007A214F">
              <w:rPr>
                <w:rFonts w:ascii="Bookman Old Style" w:hAnsi="Bookman Old Style" w:cs="Calibri"/>
                <w:b/>
                <w:bCs/>
                <w:color w:val="000000"/>
                <w:sz w:val="20"/>
                <w:szCs w:val="20"/>
                <w:lang w:eastAsia="en-GB"/>
              </w:rPr>
              <w:t> </w:t>
            </w:r>
          </w:p>
        </w:tc>
        <w:tc>
          <w:tcPr>
            <w:tcW w:w="1738" w:type="dxa"/>
            <w:tcBorders>
              <w:top w:val="nil"/>
              <w:left w:val="nil"/>
              <w:bottom w:val="nil"/>
              <w:right w:val="nil"/>
            </w:tcBorders>
            <w:shd w:val="clear" w:color="auto" w:fill="D2CAB6" w:themeFill="background2" w:themeFillShade="E6"/>
            <w:noWrap/>
            <w:vAlign w:val="center"/>
            <w:hideMark/>
          </w:tcPr>
          <w:p w14:paraId="3FAB5F3D" w14:textId="77777777" w:rsidR="007A214F" w:rsidRPr="007A214F" w:rsidRDefault="007A214F" w:rsidP="007A214F">
            <w:pPr>
              <w:spacing w:after="0" w:line="360" w:lineRule="auto"/>
              <w:jc w:val="right"/>
              <w:rPr>
                <w:rFonts w:ascii="Bookman Old Style" w:hAnsi="Bookman Old Style" w:cs="Calibri"/>
                <w:b/>
                <w:bCs/>
                <w:color w:val="000000"/>
                <w:sz w:val="20"/>
                <w:szCs w:val="20"/>
                <w:lang w:eastAsia="en-GB"/>
              </w:rPr>
            </w:pPr>
            <w:r w:rsidRPr="007A214F">
              <w:rPr>
                <w:rFonts w:ascii="Bookman Old Style" w:hAnsi="Bookman Old Style" w:cs="Calibri"/>
                <w:b/>
                <w:bCs/>
                <w:color w:val="000000"/>
                <w:sz w:val="20"/>
                <w:szCs w:val="20"/>
                <w:lang w:eastAsia="en-GB"/>
              </w:rPr>
              <w:t>144,443.17</w:t>
            </w:r>
          </w:p>
        </w:tc>
        <w:tc>
          <w:tcPr>
            <w:tcW w:w="1738" w:type="dxa"/>
            <w:tcBorders>
              <w:top w:val="nil"/>
              <w:left w:val="nil"/>
              <w:bottom w:val="nil"/>
              <w:right w:val="single" w:sz="18" w:space="0" w:color="auto"/>
            </w:tcBorders>
            <w:shd w:val="clear" w:color="auto" w:fill="D2CAB6" w:themeFill="background2" w:themeFillShade="E6"/>
            <w:noWrap/>
            <w:vAlign w:val="center"/>
            <w:hideMark/>
          </w:tcPr>
          <w:p w14:paraId="2C717C35" w14:textId="77777777" w:rsidR="007A214F" w:rsidRPr="007A214F" w:rsidRDefault="007A214F" w:rsidP="007A214F">
            <w:pPr>
              <w:spacing w:after="0" w:line="360" w:lineRule="auto"/>
              <w:jc w:val="right"/>
              <w:rPr>
                <w:rFonts w:ascii="Bookman Old Style" w:hAnsi="Bookman Old Style" w:cs="Calibri"/>
                <w:b/>
                <w:bCs/>
                <w:color w:val="000000"/>
                <w:sz w:val="20"/>
                <w:szCs w:val="20"/>
                <w:lang w:eastAsia="en-GB"/>
              </w:rPr>
            </w:pPr>
            <w:r w:rsidRPr="007A214F">
              <w:rPr>
                <w:rFonts w:ascii="Bookman Old Style" w:hAnsi="Bookman Old Style" w:cs="Calibri"/>
                <w:b/>
                <w:bCs/>
                <w:color w:val="000000"/>
                <w:sz w:val="20"/>
                <w:szCs w:val="20"/>
                <w:lang w:eastAsia="en-GB"/>
              </w:rPr>
              <w:t>119,416.25</w:t>
            </w:r>
          </w:p>
        </w:tc>
      </w:tr>
      <w:tr w:rsidR="0008504B" w:rsidRPr="007A214F" w14:paraId="5A50E981" w14:textId="77777777" w:rsidTr="00551FA8">
        <w:trPr>
          <w:trHeight w:val="326"/>
        </w:trPr>
        <w:tc>
          <w:tcPr>
            <w:tcW w:w="4245" w:type="dxa"/>
            <w:tcBorders>
              <w:top w:val="nil"/>
              <w:left w:val="single" w:sz="18" w:space="0" w:color="auto"/>
              <w:bottom w:val="single" w:sz="18" w:space="0" w:color="auto"/>
              <w:right w:val="nil"/>
            </w:tcBorders>
            <w:shd w:val="clear" w:color="auto" w:fill="D2CAB6" w:themeFill="background2" w:themeFillShade="E6"/>
            <w:noWrap/>
            <w:vAlign w:val="center"/>
          </w:tcPr>
          <w:p w14:paraId="141409B1" w14:textId="00CB65D9" w:rsidR="0008504B" w:rsidRPr="007A214F" w:rsidRDefault="0008504B" w:rsidP="007A214F">
            <w:pPr>
              <w:spacing w:after="0" w:line="360" w:lineRule="auto"/>
              <w:jc w:val="left"/>
              <w:rPr>
                <w:rFonts w:ascii="Bookman Old Style" w:hAnsi="Bookman Old Style" w:cs="Calibri"/>
                <w:b/>
                <w:bCs/>
                <w:color w:val="000000"/>
                <w:sz w:val="20"/>
                <w:szCs w:val="20"/>
                <w:lang w:eastAsia="en-GB"/>
              </w:rPr>
            </w:pPr>
            <w:r w:rsidRPr="0008504B">
              <w:rPr>
                <w:rFonts w:ascii="Bookman Old Style" w:hAnsi="Bookman Old Style" w:cs="Calibri"/>
                <w:b/>
                <w:bCs/>
                <w:color w:val="000000"/>
                <w:sz w:val="20"/>
                <w:szCs w:val="20"/>
                <w:lang w:eastAsia="en-GB"/>
              </w:rPr>
              <w:t xml:space="preserve">Government Guarantee to GDP (%) </w:t>
            </w:r>
          </w:p>
        </w:tc>
        <w:tc>
          <w:tcPr>
            <w:tcW w:w="6911" w:type="dxa"/>
            <w:tcBorders>
              <w:top w:val="nil"/>
              <w:left w:val="nil"/>
              <w:bottom w:val="single" w:sz="18" w:space="0" w:color="auto"/>
              <w:right w:val="nil"/>
            </w:tcBorders>
            <w:shd w:val="clear" w:color="auto" w:fill="D2CAB6" w:themeFill="background2" w:themeFillShade="E6"/>
            <w:noWrap/>
            <w:vAlign w:val="center"/>
          </w:tcPr>
          <w:p w14:paraId="5FC494F4" w14:textId="77777777" w:rsidR="0008504B" w:rsidRPr="007A214F" w:rsidRDefault="0008504B" w:rsidP="007A214F">
            <w:pPr>
              <w:spacing w:after="0" w:line="360" w:lineRule="auto"/>
              <w:jc w:val="left"/>
              <w:rPr>
                <w:rFonts w:ascii="Bookman Old Style" w:hAnsi="Bookman Old Style" w:cs="Calibri"/>
                <w:b/>
                <w:bCs/>
                <w:color w:val="000000"/>
                <w:sz w:val="20"/>
                <w:szCs w:val="20"/>
                <w:lang w:eastAsia="en-GB"/>
              </w:rPr>
            </w:pPr>
          </w:p>
        </w:tc>
        <w:tc>
          <w:tcPr>
            <w:tcW w:w="1738" w:type="dxa"/>
            <w:tcBorders>
              <w:top w:val="nil"/>
              <w:left w:val="nil"/>
              <w:bottom w:val="single" w:sz="18" w:space="0" w:color="auto"/>
              <w:right w:val="nil"/>
            </w:tcBorders>
            <w:shd w:val="clear" w:color="auto" w:fill="D2CAB6" w:themeFill="background2" w:themeFillShade="E6"/>
            <w:noWrap/>
            <w:vAlign w:val="center"/>
          </w:tcPr>
          <w:p w14:paraId="139343B0" w14:textId="77777777" w:rsidR="0008504B" w:rsidRPr="007A214F" w:rsidRDefault="0008504B" w:rsidP="007A214F">
            <w:pPr>
              <w:spacing w:after="0" w:line="360" w:lineRule="auto"/>
              <w:jc w:val="right"/>
              <w:rPr>
                <w:rFonts w:ascii="Bookman Old Style" w:hAnsi="Bookman Old Style" w:cs="Calibri"/>
                <w:b/>
                <w:bCs/>
                <w:color w:val="000000"/>
                <w:sz w:val="20"/>
                <w:szCs w:val="20"/>
                <w:lang w:eastAsia="en-GB"/>
              </w:rPr>
            </w:pPr>
          </w:p>
        </w:tc>
        <w:tc>
          <w:tcPr>
            <w:tcW w:w="1738" w:type="dxa"/>
            <w:tcBorders>
              <w:top w:val="nil"/>
              <w:left w:val="nil"/>
              <w:bottom w:val="single" w:sz="18" w:space="0" w:color="auto"/>
              <w:right w:val="single" w:sz="18" w:space="0" w:color="auto"/>
            </w:tcBorders>
            <w:shd w:val="clear" w:color="auto" w:fill="D2CAB6" w:themeFill="background2" w:themeFillShade="E6"/>
            <w:noWrap/>
            <w:vAlign w:val="center"/>
          </w:tcPr>
          <w:p w14:paraId="139871C2" w14:textId="772F41A1" w:rsidR="0008504B" w:rsidRPr="007A214F" w:rsidRDefault="0008504B" w:rsidP="007A214F">
            <w:pPr>
              <w:spacing w:after="0" w:line="360" w:lineRule="auto"/>
              <w:jc w:val="right"/>
              <w:rPr>
                <w:rFonts w:ascii="Bookman Old Style" w:hAnsi="Bookman Old Style" w:cs="Calibri"/>
                <w:b/>
                <w:bCs/>
                <w:color w:val="000000"/>
                <w:sz w:val="20"/>
                <w:szCs w:val="20"/>
                <w:lang w:eastAsia="en-GB"/>
              </w:rPr>
            </w:pPr>
            <w:r>
              <w:rPr>
                <w:rFonts w:ascii="Bookman Old Style" w:hAnsi="Bookman Old Style" w:cs="Calibri"/>
                <w:b/>
                <w:bCs/>
                <w:color w:val="000000"/>
                <w:sz w:val="20"/>
                <w:szCs w:val="20"/>
                <w:lang w:eastAsia="en-GB"/>
              </w:rPr>
              <w:t>1.3</w:t>
            </w:r>
          </w:p>
        </w:tc>
      </w:tr>
    </w:tbl>
    <w:p w14:paraId="2A4CC90C" w14:textId="37C984A6" w:rsidR="00AD20B0" w:rsidRPr="007A214F" w:rsidRDefault="00AD20B0" w:rsidP="00343666">
      <w:pPr>
        <w:spacing w:before="240"/>
        <w:rPr>
          <w:rFonts w:ascii="Bookman Old Style" w:hAnsi="Bookman Old Style" w:cs="Rockwell"/>
          <w:b/>
          <w:lang w:val="en-AU"/>
        </w:rPr>
      </w:pPr>
      <w:r>
        <w:rPr>
          <w:rFonts w:ascii="Bookman Old Style" w:hAnsi="Bookman Old Style" w:cs="Rockwell"/>
          <w:b/>
          <w:lang w:val="en-AU"/>
        </w:rPr>
        <w:t xml:space="preserve"> </w:t>
      </w:r>
      <w:r w:rsidR="00AD6CDA">
        <w:t>Source: MoF staff calculations.</w:t>
      </w:r>
    </w:p>
    <w:sectPr w:rsidR="00AD20B0" w:rsidRPr="007A214F" w:rsidSect="0042692A">
      <w:pgSz w:w="16838" w:h="11906" w:orient="landscape"/>
      <w:pgMar w:top="360" w:right="548" w:bottom="135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3ABA" w14:textId="77777777" w:rsidR="0064265F" w:rsidRDefault="0064265F" w:rsidP="0021011A">
      <w:pPr>
        <w:spacing w:after="0"/>
      </w:pPr>
      <w:r>
        <w:separator/>
      </w:r>
    </w:p>
  </w:endnote>
  <w:endnote w:type="continuationSeparator" w:id="0">
    <w:p w14:paraId="7A99F5DA" w14:textId="77777777" w:rsidR="0064265F" w:rsidRDefault="0064265F" w:rsidP="00210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D830" w14:textId="77777777" w:rsidR="001F788B" w:rsidRDefault="001F7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68F45" w14:textId="77777777" w:rsidR="001F788B" w:rsidRDefault="001F78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18884"/>
      <w:docPartObj>
        <w:docPartGallery w:val="Page Numbers (Bottom of Page)"/>
        <w:docPartUnique/>
      </w:docPartObj>
    </w:sdtPr>
    <w:sdtEndPr>
      <w:rPr>
        <w:noProof/>
      </w:rPr>
    </w:sdtEndPr>
    <w:sdtContent>
      <w:p w14:paraId="4DC83920" w14:textId="09E8C205" w:rsidR="001F788B" w:rsidRDefault="001F788B">
        <w:pPr>
          <w:pStyle w:val="Footer"/>
          <w:jc w:val="center"/>
        </w:pPr>
        <w:r>
          <w:fldChar w:fldCharType="begin"/>
        </w:r>
        <w:r>
          <w:instrText xml:space="preserve"> PAGE   \* MERGEFORMAT </w:instrText>
        </w:r>
        <w:r>
          <w:fldChar w:fldCharType="separate"/>
        </w:r>
        <w:r w:rsidR="007221FA">
          <w:rPr>
            <w:noProof/>
          </w:rPr>
          <w:t>3</w:t>
        </w:r>
        <w:r>
          <w:rPr>
            <w:noProof/>
          </w:rPr>
          <w:fldChar w:fldCharType="end"/>
        </w:r>
      </w:p>
    </w:sdtContent>
  </w:sdt>
  <w:p w14:paraId="15446482" w14:textId="77777777" w:rsidR="001F788B" w:rsidRDefault="001F78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D14" w14:textId="77777777" w:rsidR="001F788B" w:rsidRDefault="001F788B" w:rsidP="004D7A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B3F0A5" w14:textId="77777777" w:rsidR="001F788B" w:rsidRDefault="001F78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10888"/>
      <w:docPartObj>
        <w:docPartGallery w:val="Page Numbers (Bottom of Page)"/>
        <w:docPartUnique/>
      </w:docPartObj>
    </w:sdtPr>
    <w:sdtEndPr>
      <w:rPr>
        <w:noProof/>
      </w:rPr>
    </w:sdtEndPr>
    <w:sdtContent>
      <w:p w14:paraId="648041DC" w14:textId="237073B6" w:rsidR="001F788B" w:rsidRDefault="001F788B">
        <w:pPr>
          <w:pStyle w:val="Footer"/>
          <w:jc w:val="center"/>
        </w:pPr>
        <w:r>
          <w:fldChar w:fldCharType="begin"/>
        </w:r>
        <w:r>
          <w:instrText xml:space="preserve"> PAGE   \* MERGEFORMAT </w:instrText>
        </w:r>
        <w:r>
          <w:fldChar w:fldCharType="separate"/>
        </w:r>
        <w:r w:rsidR="004F0997">
          <w:rPr>
            <w:noProof/>
          </w:rPr>
          <w:t>26</w:t>
        </w:r>
        <w:r>
          <w:rPr>
            <w:noProof/>
          </w:rPr>
          <w:fldChar w:fldCharType="end"/>
        </w:r>
      </w:p>
    </w:sdtContent>
  </w:sdt>
  <w:p w14:paraId="276B8577" w14:textId="77777777" w:rsidR="001F788B" w:rsidRDefault="001F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5812" w14:textId="77777777" w:rsidR="0064265F" w:rsidRDefault="0064265F" w:rsidP="0021011A">
      <w:pPr>
        <w:spacing w:after="0"/>
      </w:pPr>
      <w:r>
        <w:separator/>
      </w:r>
    </w:p>
  </w:footnote>
  <w:footnote w:type="continuationSeparator" w:id="0">
    <w:p w14:paraId="5061A3EB" w14:textId="77777777" w:rsidR="0064265F" w:rsidRDefault="0064265F" w:rsidP="0021011A">
      <w:pPr>
        <w:spacing w:after="0"/>
      </w:pPr>
      <w:r>
        <w:continuationSeparator/>
      </w:r>
    </w:p>
  </w:footnote>
  <w:footnote w:id="1">
    <w:p w14:paraId="5E239262" w14:textId="1DDFEA21" w:rsidR="001F788B" w:rsidRPr="00A578F8" w:rsidRDefault="001F788B">
      <w:pPr>
        <w:pStyle w:val="FootnoteText"/>
        <w:rPr>
          <w:lang w:val="en-US"/>
        </w:rPr>
      </w:pPr>
      <w:r>
        <w:rPr>
          <w:rStyle w:val="FootnoteReference"/>
        </w:rPr>
        <w:footnoteRef/>
      </w:r>
      <w:r>
        <w:t xml:space="preserve"> </w:t>
      </w:r>
      <w:r w:rsidRPr="00EE38C0">
        <w:rPr>
          <w:rFonts w:ascii="Bookman Old Style" w:hAnsi="Bookman Old Style"/>
          <w:sz w:val="18"/>
          <w:szCs w:val="18"/>
          <w:lang w:val="en-US"/>
        </w:rPr>
        <w:t xml:space="preserve">Unlike the rest of </w:t>
      </w:r>
      <w:r>
        <w:rPr>
          <w:rFonts w:ascii="Bookman Old Style" w:hAnsi="Bookman Old Style"/>
          <w:sz w:val="18"/>
          <w:szCs w:val="18"/>
          <w:lang w:val="en-US"/>
        </w:rPr>
        <w:t xml:space="preserve">the </w:t>
      </w:r>
      <w:r w:rsidRPr="00EE38C0">
        <w:rPr>
          <w:rFonts w:ascii="Bookman Old Style" w:hAnsi="Bookman Old Style"/>
          <w:sz w:val="18"/>
          <w:szCs w:val="18"/>
          <w:lang w:val="en-US"/>
        </w:rPr>
        <w:t>tables and figures in the report,</w:t>
      </w:r>
      <w:r>
        <w:t xml:space="preserve"> </w:t>
      </w:r>
      <w:r>
        <w:rPr>
          <w:rFonts w:ascii="Bookman Old Style" w:hAnsi="Bookman Old Style"/>
          <w:sz w:val="18"/>
          <w:szCs w:val="18"/>
          <w:lang w:val="en-US"/>
        </w:rPr>
        <w:t>t</w:t>
      </w:r>
      <w:r w:rsidRPr="00A578F8">
        <w:rPr>
          <w:rFonts w:ascii="Bookman Old Style" w:hAnsi="Bookman Old Style"/>
          <w:sz w:val="18"/>
          <w:szCs w:val="18"/>
          <w:lang w:val="en-US"/>
        </w:rPr>
        <w:t>his figure in based on calendar year data</w:t>
      </w:r>
      <w:r>
        <w:rPr>
          <w:rFonts w:ascii="Bookman Old Style" w:hAnsi="Bookman Old Style"/>
          <w:sz w:val="18"/>
          <w:szCs w:val="18"/>
          <w:lang w:val="en-US"/>
        </w:rPr>
        <w:t xml:space="preserve">. </w:t>
      </w:r>
    </w:p>
  </w:footnote>
  <w:footnote w:id="2">
    <w:p w14:paraId="655A7823" w14:textId="26A88F7B" w:rsidR="001F788B" w:rsidRPr="00B80999" w:rsidRDefault="001F788B">
      <w:pPr>
        <w:pStyle w:val="FootnoteText"/>
        <w:rPr>
          <w:lang w:val="en-US"/>
        </w:rPr>
      </w:pPr>
      <w:r>
        <w:rPr>
          <w:rStyle w:val="FootnoteReference"/>
        </w:rPr>
        <w:footnoteRef/>
      </w:r>
      <w:r>
        <w:t xml:space="preserve"> </w:t>
      </w:r>
      <w:r w:rsidRPr="000E2057">
        <w:rPr>
          <w:rFonts w:ascii="Bookman Old Style" w:hAnsi="Bookman Old Style"/>
          <w:sz w:val="18"/>
          <w:szCs w:val="18"/>
        </w:rPr>
        <w:t>In an attempt to widen the coverage of public debt and in keeping with international classifications, debt reported</w:t>
      </w:r>
      <w:r>
        <w:rPr>
          <w:rFonts w:ascii="Bookman Old Style" w:hAnsi="Bookman Old Style"/>
          <w:sz w:val="18"/>
          <w:szCs w:val="18"/>
        </w:rPr>
        <w:t xml:space="preserve"> previously </w:t>
      </w:r>
      <w:r w:rsidRPr="000E2057">
        <w:rPr>
          <w:rFonts w:ascii="Bookman Old Style" w:hAnsi="Bookman Old Style"/>
          <w:sz w:val="18"/>
          <w:szCs w:val="18"/>
        </w:rPr>
        <w:t>as</w:t>
      </w:r>
      <w:r>
        <w:rPr>
          <w:rFonts w:ascii="Bookman Old Style" w:hAnsi="Bookman Old Style"/>
          <w:sz w:val="18"/>
          <w:szCs w:val="18"/>
        </w:rPr>
        <w:t xml:space="preserve"> domestic debt held by non-residents has </w:t>
      </w:r>
      <w:r w:rsidRPr="000E2057">
        <w:rPr>
          <w:rFonts w:ascii="Bookman Old Style" w:hAnsi="Bookman Old Style"/>
          <w:sz w:val="18"/>
          <w:szCs w:val="18"/>
        </w:rPr>
        <w:t>been reclassified as external</w:t>
      </w:r>
      <w:r>
        <w:rPr>
          <w:rFonts w:ascii="Bookman Old Style" w:hAnsi="Bookman Old Style"/>
          <w:sz w:val="18"/>
          <w:szCs w:val="18"/>
        </w:rPr>
        <w:t xml:space="preserve"> debt. Therefore, debt stocks beginning from FY2017/18 have been re-recorded.  Consequently, this table is largely not comparable to similar tables in previous editions.</w:t>
      </w:r>
    </w:p>
  </w:footnote>
  <w:footnote w:id="3">
    <w:p w14:paraId="45F74D04" w14:textId="6B238CC0" w:rsidR="001F788B" w:rsidRDefault="001F788B">
      <w:pPr>
        <w:pStyle w:val="FootnoteText"/>
      </w:pPr>
      <w:r>
        <w:rPr>
          <w:rStyle w:val="FootnoteReference"/>
        </w:rPr>
        <w:footnoteRef/>
      </w:r>
      <w:r>
        <w:t xml:space="preserve"> </w:t>
      </w:r>
      <w:r w:rsidRPr="00424209">
        <w:rPr>
          <w:rFonts w:ascii="Bookman Old Style" w:hAnsi="Bookman Old Style"/>
          <w:sz w:val="18"/>
          <w:szCs w:val="18"/>
        </w:rPr>
        <w:t>Exchange rate used US$1=MK</w:t>
      </w:r>
      <w:bookmarkStart w:id="37" w:name="OLE_LINK1"/>
      <w:r w:rsidRPr="00424209">
        <w:rPr>
          <w:rFonts w:ascii="Bookman Old Style" w:hAnsi="Bookman Old Style"/>
          <w:sz w:val="18"/>
          <w:szCs w:val="18"/>
        </w:rPr>
        <w:t>805.591</w:t>
      </w:r>
      <w:bookmarkEnd w:id="37"/>
      <w:r>
        <w:rPr>
          <w:rFonts w:ascii="Bookman Old Style" w:hAnsi="Bookman Old Style"/>
          <w:sz w:val="18"/>
          <w:szCs w:val="18"/>
        </w:rPr>
        <w:t>.</w:t>
      </w:r>
    </w:p>
  </w:footnote>
  <w:footnote w:id="4">
    <w:p w14:paraId="2DCD8BB6" w14:textId="23BD99D8" w:rsidR="001F788B" w:rsidRPr="00D305EA" w:rsidRDefault="001F788B">
      <w:pPr>
        <w:pStyle w:val="FootnoteText"/>
        <w:rPr>
          <w:lang w:val="en-US"/>
        </w:rPr>
      </w:pPr>
      <w:r>
        <w:rPr>
          <w:rStyle w:val="FootnoteReference"/>
        </w:rPr>
        <w:footnoteRef/>
      </w:r>
      <w:r w:rsidRPr="005220BE">
        <w:rPr>
          <w:rFonts w:ascii="Bookman Old Style" w:hAnsi="Bookman Old Style" w:cs="Segoe UI"/>
          <w:color w:val="222222"/>
          <w:sz w:val="18"/>
          <w:szCs w:val="18"/>
          <w:shd w:val="clear" w:color="auto" w:fill="FFFFFF"/>
        </w:rPr>
        <w:t>Debt owed to Spain relates to a contract that was signed in 2003 by the Ministry of Health of Malawi for medical equipment. The debt was not considered under Debt Relief Initiative</w:t>
      </w:r>
      <w:r>
        <w:rPr>
          <w:rFonts w:ascii="Bookman Old Style" w:hAnsi="Bookman Old Style" w:cs="Segoe UI"/>
          <w:color w:val="222222"/>
          <w:sz w:val="18"/>
          <w:szCs w:val="18"/>
          <w:shd w:val="clear" w:color="auto" w:fill="FFFFFF"/>
        </w:rPr>
        <w:t>.</w:t>
      </w:r>
    </w:p>
  </w:footnote>
  <w:footnote w:id="5">
    <w:p w14:paraId="780A3C3B" w14:textId="24D080D7" w:rsidR="001F788B" w:rsidRPr="001D2408" w:rsidRDefault="001F788B">
      <w:pPr>
        <w:pStyle w:val="FootnoteText"/>
        <w:rPr>
          <w:lang w:val="en-US"/>
        </w:rPr>
      </w:pPr>
      <w:r>
        <w:rPr>
          <w:rStyle w:val="FootnoteReference"/>
        </w:rPr>
        <w:footnoteRef/>
      </w:r>
      <w:r>
        <w:t xml:space="preserve"> </w:t>
      </w:r>
      <w:r>
        <w:rPr>
          <w:rFonts w:ascii="Bookman Old Style" w:hAnsi="Bookman Old Style"/>
        </w:rPr>
        <w:t>USD (41.73%), EUR (30.93%), CNY (</w:t>
      </w:r>
      <w:r w:rsidRPr="007314EA">
        <w:rPr>
          <w:rFonts w:ascii="Bookman Old Style" w:hAnsi="Bookman Old Style"/>
        </w:rPr>
        <w:t>10.92%</w:t>
      </w:r>
      <w:r>
        <w:rPr>
          <w:rFonts w:ascii="Bookman Old Style" w:hAnsi="Bookman Old Style"/>
        </w:rPr>
        <w:t>), JPY (</w:t>
      </w:r>
      <w:r w:rsidRPr="007314EA">
        <w:rPr>
          <w:rFonts w:ascii="Bookman Old Style" w:hAnsi="Bookman Old Style"/>
        </w:rPr>
        <w:t>8.33%</w:t>
      </w:r>
      <w:r>
        <w:rPr>
          <w:rFonts w:ascii="Bookman Old Style" w:hAnsi="Bookman Old Style"/>
        </w:rPr>
        <w:t>) and GBP (8.09%).</w:t>
      </w:r>
    </w:p>
  </w:footnote>
  <w:footnote w:id="6">
    <w:p w14:paraId="71E8CB79" w14:textId="32C1494E" w:rsidR="001F788B" w:rsidRPr="00D60510" w:rsidRDefault="001F788B">
      <w:pPr>
        <w:pStyle w:val="FootnoteText"/>
        <w:rPr>
          <w:lang w:val="en-US"/>
        </w:rPr>
      </w:pPr>
      <w:r>
        <w:rPr>
          <w:rStyle w:val="FootnoteReference"/>
        </w:rPr>
        <w:footnoteRef/>
      </w:r>
      <w:r>
        <w:t xml:space="preserve"> </w:t>
      </w:r>
      <w:r w:rsidRPr="005220BE">
        <w:rPr>
          <w:rFonts w:ascii="Bookman Old Style" w:hAnsi="Bookman Old Style"/>
          <w:sz w:val="18"/>
          <w:szCs w:val="18"/>
        </w:rPr>
        <w:t>Other currencies in the external public debt include British Pound, Kuwait Dinar, Saudi Riyal, Japanese Yen and Dirham</w:t>
      </w:r>
      <w:r>
        <w:rPr>
          <w:rFonts w:ascii="Bookman Old Style" w:hAnsi="Bookman Old Style"/>
        </w:rPr>
        <w:t>.</w:t>
      </w:r>
    </w:p>
  </w:footnote>
  <w:footnote w:id="7">
    <w:p w14:paraId="2C721744" w14:textId="4052D0DA" w:rsidR="001F788B" w:rsidRPr="00BB24AF" w:rsidRDefault="001F788B">
      <w:pPr>
        <w:pStyle w:val="FootnoteText"/>
        <w:rPr>
          <w:lang w:val="en-US"/>
        </w:rPr>
      </w:pPr>
      <w:r>
        <w:rPr>
          <w:rStyle w:val="FootnoteReference"/>
        </w:rPr>
        <w:footnoteRef/>
      </w:r>
      <w:r>
        <w:t xml:space="preserve"> </w:t>
      </w:r>
      <w:r w:rsidRPr="00BB24AF">
        <w:rPr>
          <w:rFonts w:ascii="Bookman Old Style" w:hAnsi="Bookman Old Style"/>
          <w:lang w:val="en-US"/>
        </w:rPr>
        <w:t>Measures the concessionality of a loan. A loan is considered concessional if its grant element is at least 35 percent.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9A23" w14:textId="1332BEEA" w:rsidR="001F788B" w:rsidRDefault="001F7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694C" w14:textId="1CD2E10A" w:rsidR="001F788B" w:rsidRDefault="001F7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DCA9" w14:textId="2F02A2F8" w:rsidR="001F788B" w:rsidRDefault="001F7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62B" w14:textId="3E219553" w:rsidR="001F788B" w:rsidRDefault="001F78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72C5" w14:textId="296A5D0E" w:rsidR="001F788B" w:rsidRDefault="001F78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FDA" w14:textId="611001CA" w:rsidR="001F788B" w:rsidRDefault="001F7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9A4"/>
    <w:multiLevelType w:val="hybridMultilevel"/>
    <w:tmpl w:val="C5B43EC4"/>
    <w:lvl w:ilvl="0" w:tplc="3BFA2E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16492"/>
    <w:multiLevelType w:val="hybridMultilevel"/>
    <w:tmpl w:val="F75400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54826"/>
    <w:multiLevelType w:val="hybridMultilevel"/>
    <w:tmpl w:val="E09097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AA4A3D"/>
    <w:multiLevelType w:val="hybridMultilevel"/>
    <w:tmpl w:val="3DDC78B0"/>
    <w:lvl w:ilvl="0" w:tplc="940C1D1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05CA9"/>
    <w:multiLevelType w:val="hybridMultilevel"/>
    <w:tmpl w:val="0EA4F5DA"/>
    <w:lvl w:ilvl="0" w:tplc="49B4E744">
      <w:start w:val="1"/>
      <w:numFmt w:val="decimal"/>
      <w:pStyle w:val="ParagraphNumbering"/>
      <w:lvlText w:val="%1.     "/>
      <w:lvlJc w:val="left"/>
      <w:pPr>
        <w:tabs>
          <w:tab w:val="num" w:pos="72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123376"/>
    <w:multiLevelType w:val="hybridMultilevel"/>
    <w:tmpl w:val="E09097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53CDC"/>
    <w:multiLevelType w:val="multilevel"/>
    <w:tmpl w:val="FFD058E0"/>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511949"/>
    <w:multiLevelType w:val="hybridMultilevel"/>
    <w:tmpl w:val="9112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D3AE9"/>
    <w:multiLevelType w:val="multilevel"/>
    <w:tmpl w:val="581A7296"/>
    <w:lvl w:ilvl="0">
      <w:start w:val="3"/>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7E2BCE"/>
    <w:multiLevelType w:val="multilevel"/>
    <w:tmpl w:val="5F968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D67F3F"/>
    <w:multiLevelType w:val="hybridMultilevel"/>
    <w:tmpl w:val="D1BC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100E5"/>
    <w:multiLevelType w:val="hybridMultilevel"/>
    <w:tmpl w:val="FE5833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221457"/>
    <w:multiLevelType w:val="hybridMultilevel"/>
    <w:tmpl w:val="EAD6AE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652E54"/>
    <w:multiLevelType w:val="multilevel"/>
    <w:tmpl w:val="12F0C61C"/>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A10E85"/>
    <w:multiLevelType w:val="hybridMultilevel"/>
    <w:tmpl w:val="ABA210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50661A"/>
    <w:multiLevelType w:val="multilevel"/>
    <w:tmpl w:val="91560460"/>
    <w:lvl w:ilvl="0">
      <w:start w:val="3"/>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51B01889"/>
    <w:multiLevelType w:val="multilevel"/>
    <w:tmpl w:val="FE0A908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E64F15"/>
    <w:multiLevelType w:val="multilevel"/>
    <w:tmpl w:val="606EB9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926ED5"/>
    <w:multiLevelType w:val="multilevel"/>
    <w:tmpl w:val="7CC63A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F332AA"/>
    <w:multiLevelType w:val="hybridMultilevel"/>
    <w:tmpl w:val="D5D6F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
  </w:num>
  <w:num w:numId="4">
    <w:abstractNumId w:val="10"/>
  </w:num>
  <w:num w:numId="5">
    <w:abstractNumId w:val="5"/>
  </w:num>
  <w:num w:numId="6">
    <w:abstractNumId w:val="11"/>
  </w:num>
  <w:num w:numId="7">
    <w:abstractNumId w:val="4"/>
  </w:num>
  <w:num w:numId="8">
    <w:abstractNumId w:val="1"/>
  </w:num>
  <w:num w:numId="9">
    <w:abstractNumId w:val="4"/>
    <w:lvlOverride w:ilvl="0">
      <w:startOverride w:val="1"/>
    </w:lvlOverride>
  </w:num>
  <w:num w:numId="10">
    <w:abstractNumId w:val="7"/>
  </w:num>
  <w:num w:numId="11">
    <w:abstractNumId w:val="16"/>
  </w:num>
  <w:num w:numId="12">
    <w:abstractNumId w:val="8"/>
  </w:num>
  <w:num w:numId="13">
    <w:abstractNumId w:val="14"/>
  </w:num>
  <w:num w:numId="14">
    <w:abstractNumId w:val="9"/>
  </w:num>
  <w:num w:numId="15">
    <w:abstractNumId w:val="15"/>
  </w:num>
  <w:num w:numId="16">
    <w:abstractNumId w:val="17"/>
  </w:num>
  <w:num w:numId="17">
    <w:abstractNumId w:val="19"/>
  </w:num>
  <w:num w:numId="18">
    <w:abstractNumId w:val="3"/>
  </w:num>
  <w:num w:numId="19">
    <w:abstractNumId w:val="0"/>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1A"/>
    <w:rsid w:val="00006509"/>
    <w:rsid w:val="00014664"/>
    <w:rsid w:val="000219C6"/>
    <w:rsid w:val="000270B0"/>
    <w:rsid w:val="00034757"/>
    <w:rsid w:val="00053F56"/>
    <w:rsid w:val="00054FE6"/>
    <w:rsid w:val="00055408"/>
    <w:rsid w:val="00060624"/>
    <w:rsid w:val="00064029"/>
    <w:rsid w:val="000643E8"/>
    <w:rsid w:val="00064C8E"/>
    <w:rsid w:val="00064EBA"/>
    <w:rsid w:val="00065C93"/>
    <w:rsid w:val="0008504B"/>
    <w:rsid w:val="00086E6A"/>
    <w:rsid w:val="00087CF8"/>
    <w:rsid w:val="0009208A"/>
    <w:rsid w:val="0009276A"/>
    <w:rsid w:val="00093544"/>
    <w:rsid w:val="00094DB6"/>
    <w:rsid w:val="000A0157"/>
    <w:rsid w:val="000B0EA7"/>
    <w:rsid w:val="000C6A54"/>
    <w:rsid w:val="000E2057"/>
    <w:rsid w:val="000F7C51"/>
    <w:rsid w:val="00107347"/>
    <w:rsid w:val="001077A0"/>
    <w:rsid w:val="00130A51"/>
    <w:rsid w:val="00140266"/>
    <w:rsid w:val="001423FC"/>
    <w:rsid w:val="00161B07"/>
    <w:rsid w:val="00166B05"/>
    <w:rsid w:val="001744B9"/>
    <w:rsid w:val="001832F3"/>
    <w:rsid w:val="00184B4B"/>
    <w:rsid w:val="00185BD0"/>
    <w:rsid w:val="0019449C"/>
    <w:rsid w:val="00194922"/>
    <w:rsid w:val="001A33CF"/>
    <w:rsid w:val="001A46CE"/>
    <w:rsid w:val="001C0DC1"/>
    <w:rsid w:val="001D2408"/>
    <w:rsid w:val="001E3FB0"/>
    <w:rsid w:val="001F4F80"/>
    <w:rsid w:val="001F788B"/>
    <w:rsid w:val="00201AA1"/>
    <w:rsid w:val="0021011A"/>
    <w:rsid w:val="00211DEF"/>
    <w:rsid w:val="002152A0"/>
    <w:rsid w:val="0022132C"/>
    <w:rsid w:val="002228C1"/>
    <w:rsid w:val="00226F86"/>
    <w:rsid w:val="00227123"/>
    <w:rsid w:val="00232F97"/>
    <w:rsid w:val="00234986"/>
    <w:rsid w:val="00241117"/>
    <w:rsid w:val="0024402C"/>
    <w:rsid w:val="00246127"/>
    <w:rsid w:val="00250145"/>
    <w:rsid w:val="00251156"/>
    <w:rsid w:val="00253E52"/>
    <w:rsid w:val="002679D5"/>
    <w:rsid w:val="0027378F"/>
    <w:rsid w:val="00284CED"/>
    <w:rsid w:val="00285642"/>
    <w:rsid w:val="00287D97"/>
    <w:rsid w:val="00294F94"/>
    <w:rsid w:val="00297A4F"/>
    <w:rsid w:val="002B6C70"/>
    <w:rsid w:val="002C01CD"/>
    <w:rsid w:val="002C2C1E"/>
    <w:rsid w:val="002C3828"/>
    <w:rsid w:val="002C533A"/>
    <w:rsid w:val="002C7E77"/>
    <w:rsid w:val="002D38B1"/>
    <w:rsid w:val="002D51DC"/>
    <w:rsid w:val="002E3384"/>
    <w:rsid w:val="002E4926"/>
    <w:rsid w:val="002E79D0"/>
    <w:rsid w:val="002F31F6"/>
    <w:rsid w:val="0030016A"/>
    <w:rsid w:val="00303075"/>
    <w:rsid w:val="00303A66"/>
    <w:rsid w:val="00307E46"/>
    <w:rsid w:val="00310C19"/>
    <w:rsid w:val="00311E34"/>
    <w:rsid w:val="00312169"/>
    <w:rsid w:val="0031279C"/>
    <w:rsid w:val="003146E6"/>
    <w:rsid w:val="00331309"/>
    <w:rsid w:val="0033747E"/>
    <w:rsid w:val="00343666"/>
    <w:rsid w:val="0034373F"/>
    <w:rsid w:val="00345AF6"/>
    <w:rsid w:val="00360E38"/>
    <w:rsid w:val="003639A7"/>
    <w:rsid w:val="0036623E"/>
    <w:rsid w:val="003662D2"/>
    <w:rsid w:val="00375688"/>
    <w:rsid w:val="003762F1"/>
    <w:rsid w:val="0038044A"/>
    <w:rsid w:val="00394AAA"/>
    <w:rsid w:val="003A70C4"/>
    <w:rsid w:val="003C2C4F"/>
    <w:rsid w:val="003C7A92"/>
    <w:rsid w:val="003D13CC"/>
    <w:rsid w:val="003D48EF"/>
    <w:rsid w:val="003D69D8"/>
    <w:rsid w:val="003D6EE0"/>
    <w:rsid w:val="003D71B6"/>
    <w:rsid w:val="003F2330"/>
    <w:rsid w:val="00405481"/>
    <w:rsid w:val="00424209"/>
    <w:rsid w:val="00425624"/>
    <w:rsid w:val="0042692A"/>
    <w:rsid w:val="00436470"/>
    <w:rsid w:val="00453829"/>
    <w:rsid w:val="004563C4"/>
    <w:rsid w:val="00466420"/>
    <w:rsid w:val="004665A2"/>
    <w:rsid w:val="004716CC"/>
    <w:rsid w:val="00477A4C"/>
    <w:rsid w:val="00494485"/>
    <w:rsid w:val="00497765"/>
    <w:rsid w:val="004A105E"/>
    <w:rsid w:val="004A56C6"/>
    <w:rsid w:val="004A5989"/>
    <w:rsid w:val="004A6B3A"/>
    <w:rsid w:val="004B0C4D"/>
    <w:rsid w:val="004B7EC8"/>
    <w:rsid w:val="004C2087"/>
    <w:rsid w:val="004C2639"/>
    <w:rsid w:val="004D00BF"/>
    <w:rsid w:val="004D7A01"/>
    <w:rsid w:val="004E3E68"/>
    <w:rsid w:val="004E51DA"/>
    <w:rsid w:val="004F05E4"/>
    <w:rsid w:val="004F0997"/>
    <w:rsid w:val="0050706E"/>
    <w:rsid w:val="0051020E"/>
    <w:rsid w:val="005109C9"/>
    <w:rsid w:val="00514C59"/>
    <w:rsid w:val="005220BE"/>
    <w:rsid w:val="00524F5C"/>
    <w:rsid w:val="0053189A"/>
    <w:rsid w:val="00533723"/>
    <w:rsid w:val="00534005"/>
    <w:rsid w:val="0053459A"/>
    <w:rsid w:val="0053510F"/>
    <w:rsid w:val="00544D58"/>
    <w:rsid w:val="00544FDC"/>
    <w:rsid w:val="00545445"/>
    <w:rsid w:val="005459E0"/>
    <w:rsid w:val="00546629"/>
    <w:rsid w:val="00551FA8"/>
    <w:rsid w:val="00561CC3"/>
    <w:rsid w:val="00563421"/>
    <w:rsid w:val="00570997"/>
    <w:rsid w:val="00582DD7"/>
    <w:rsid w:val="00587D6A"/>
    <w:rsid w:val="005910EA"/>
    <w:rsid w:val="00597DD3"/>
    <w:rsid w:val="005A2894"/>
    <w:rsid w:val="005D5005"/>
    <w:rsid w:val="005D5867"/>
    <w:rsid w:val="005D6C45"/>
    <w:rsid w:val="005D7482"/>
    <w:rsid w:val="005E2474"/>
    <w:rsid w:val="005F30C0"/>
    <w:rsid w:val="00606E9D"/>
    <w:rsid w:val="006212E7"/>
    <w:rsid w:val="006326CA"/>
    <w:rsid w:val="0064265F"/>
    <w:rsid w:val="006439D8"/>
    <w:rsid w:val="0064428B"/>
    <w:rsid w:val="0064676A"/>
    <w:rsid w:val="006653D0"/>
    <w:rsid w:val="00670F96"/>
    <w:rsid w:val="00671946"/>
    <w:rsid w:val="0068026A"/>
    <w:rsid w:val="00680D15"/>
    <w:rsid w:val="00681776"/>
    <w:rsid w:val="0068313F"/>
    <w:rsid w:val="00692E2E"/>
    <w:rsid w:val="00694373"/>
    <w:rsid w:val="00696F89"/>
    <w:rsid w:val="006A167C"/>
    <w:rsid w:val="006A2070"/>
    <w:rsid w:val="006A5EFA"/>
    <w:rsid w:val="006B19B0"/>
    <w:rsid w:val="006C10DE"/>
    <w:rsid w:val="006C2ADC"/>
    <w:rsid w:val="006C5139"/>
    <w:rsid w:val="006C7301"/>
    <w:rsid w:val="006E22C1"/>
    <w:rsid w:val="006F78EC"/>
    <w:rsid w:val="00701064"/>
    <w:rsid w:val="0070140A"/>
    <w:rsid w:val="00713BC4"/>
    <w:rsid w:val="007221FA"/>
    <w:rsid w:val="00725B74"/>
    <w:rsid w:val="00733533"/>
    <w:rsid w:val="007367DA"/>
    <w:rsid w:val="00747B00"/>
    <w:rsid w:val="00763008"/>
    <w:rsid w:val="007739CA"/>
    <w:rsid w:val="007744E2"/>
    <w:rsid w:val="00785C9D"/>
    <w:rsid w:val="00787772"/>
    <w:rsid w:val="0079331F"/>
    <w:rsid w:val="007A0578"/>
    <w:rsid w:val="007A214F"/>
    <w:rsid w:val="007A5BDD"/>
    <w:rsid w:val="007B3CF3"/>
    <w:rsid w:val="007B6B70"/>
    <w:rsid w:val="007C5101"/>
    <w:rsid w:val="007C6006"/>
    <w:rsid w:val="007D4EF0"/>
    <w:rsid w:val="00801943"/>
    <w:rsid w:val="00807C0D"/>
    <w:rsid w:val="008113EB"/>
    <w:rsid w:val="0083019A"/>
    <w:rsid w:val="00837700"/>
    <w:rsid w:val="0083775B"/>
    <w:rsid w:val="00844592"/>
    <w:rsid w:val="0084462F"/>
    <w:rsid w:val="008457DA"/>
    <w:rsid w:val="00847A68"/>
    <w:rsid w:val="008569BF"/>
    <w:rsid w:val="00861015"/>
    <w:rsid w:val="0086453C"/>
    <w:rsid w:val="00872E45"/>
    <w:rsid w:val="008A3470"/>
    <w:rsid w:val="008C062A"/>
    <w:rsid w:val="008C1A9F"/>
    <w:rsid w:val="008D58BA"/>
    <w:rsid w:val="008F5137"/>
    <w:rsid w:val="009059C3"/>
    <w:rsid w:val="00907458"/>
    <w:rsid w:val="009075B1"/>
    <w:rsid w:val="00913328"/>
    <w:rsid w:val="0091394C"/>
    <w:rsid w:val="009209EC"/>
    <w:rsid w:val="00924FE2"/>
    <w:rsid w:val="00931A96"/>
    <w:rsid w:val="00936BFD"/>
    <w:rsid w:val="0094188D"/>
    <w:rsid w:val="009569F2"/>
    <w:rsid w:val="00985D70"/>
    <w:rsid w:val="00990BB5"/>
    <w:rsid w:val="009A4B0B"/>
    <w:rsid w:val="009B0ED9"/>
    <w:rsid w:val="009B6F07"/>
    <w:rsid w:val="009C2C64"/>
    <w:rsid w:val="009C6DFB"/>
    <w:rsid w:val="009D4130"/>
    <w:rsid w:val="009D53CF"/>
    <w:rsid w:val="009D5526"/>
    <w:rsid w:val="009D7D1C"/>
    <w:rsid w:val="009E2AB9"/>
    <w:rsid w:val="009F3BD8"/>
    <w:rsid w:val="009F7220"/>
    <w:rsid w:val="009F77BC"/>
    <w:rsid w:val="00A16F8E"/>
    <w:rsid w:val="00A24A12"/>
    <w:rsid w:val="00A31BF2"/>
    <w:rsid w:val="00A42B8A"/>
    <w:rsid w:val="00A42C03"/>
    <w:rsid w:val="00A47C69"/>
    <w:rsid w:val="00A516E8"/>
    <w:rsid w:val="00A57256"/>
    <w:rsid w:val="00A578F8"/>
    <w:rsid w:val="00A71679"/>
    <w:rsid w:val="00A71ECB"/>
    <w:rsid w:val="00A74308"/>
    <w:rsid w:val="00A7458B"/>
    <w:rsid w:val="00A7542B"/>
    <w:rsid w:val="00A85973"/>
    <w:rsid w:val="00A85BEF"/>
    <w:rsid w:val="00A92085"/>
    <w:rsid w:val="00A92C53"/>
    <w:rsid w:val="00A933F0"/>
    <w:rsid w:val="00AA4D78"/>
    <w:rsid w:val="00AA5ABD"/>
    <w:rsid w:val="00AA797D"/>
    <w:rsid w:val="00AB5475"/>
    <w:rsid w:val="00AC55E5"/>
    <w:rsid w:val="00AD20B0"/>
    <w:rsid w:val="00AD5ACD"/>
    <w:rsid w:val="00AD6CDA"/>
    <w:rsid w:val="00AE1B8C"/>
    <w:rsid w:val="00AE539B"/>
    <w:rsid w:val="00AE6F72"/>
    <w:rsid w:val="00AF02CB"/>
    <w:rsid w:val="00AF150F"/>
    <w:rsid w:val="00B039C9"/>
    <w:rsid w:val="00B07AD0"/>
    <w:rsid w:val="00B12D43"/>
    <w:rsid w:val="00B1311F"/>
    <w:rsid w:val="00B13ED2"/>
    <w:rsid w:val="00B152E3"/>
    <w:rsid w:val="00B33F27"/>
    <w:rsid w:val="00B413BA"/>
    <w:rsid w:val="00B450E2"/>
    <w:rsid w:val="00B53DB3"/>
    <w:rsid w:val="00B5702E"/>
    <w:rsid w:val="00B607CE"/>
    <w:rsid w:val="00B678C1"/>
    <w:rsid w:val="00B71048"/>
    <w:rsid w:val="00B80999"/>
    <w:rsid w:val="00B81271"/>
    <w:rsid w:val="00B854AC"/>
    <w:rsid w:val="00B91BE7"/>
    <w:rsid w:val="00B93723"/>
    <w:rsid w:val="00BB24AF"/>
    <w:rsid w:val="00BB64BF"/>
    <w:rsid w:val="00BC5BBB"/>
    <w:rsid w:val="00BC7458"/>
    <w:rsid w:val="00BD45A7"/>
    <w:rsid w:val="00BD5C2A"/>
    <w:rsid w:val="00C06766"/>
    <w:rsid w:val="00C069EE"/>
    <w:rsid w:val="00C06F9F"/>
    <w:rsid w:val="00C115FB"/>
    <w:rsid w:val="00C17FE5"/>
    <w:rsid w:val="00C41E3E"/>
    <w:rsid w:val="00C43CE0"/>
    <w:rsid w:val="00C47B1D"/>
    <w:rsid w:val="00C52DAB"/>
    <w:rsid w:val="00C54085"/>
    <w:rsid w:val="00C61C0E"/>
    <w:rsid w:val="00C627B6"/>
    <w:rsid w:val="00C6296A"/>
    <w:rsid w:val="00C62C3F"/>
    <w:rsid w:val="00C86433"/>
    <w:rsid w:val="00C90DE3"/>
    <w:rsid w:val="00C90DF3"/>
    <w:rsid w:val="00C95CBE"/>
    <w:rsid w:val="00CA65F7"/>
    <w:rsid w:val="00CC0F8C"/>
    <w:rsid w:val="00D01C55"/>
    <w:rsid w:val="00D01DCB"/>
    <w:rsid w:val="00D04664"/>
    <w:rsid w:val="00D075AC"/>
    <w:rsid w:val="00D232AA"/>
    <w:rsid w:val="00D25A1C"/>
    <w:rsid w:val="00D305EA"/>
    <w:rsid w:val="00D50867"/>
    <w:rsid w:val="00D51C22"/>
    <w:rsid w:val="00D54D4A"/>
    <w:rsid w:val="00D562A1"/>
    <w:rsid w:val="00D60510"/>
    <w:rsid w:val="00D6190B"/>
    <w:rsid w:val="00D649CF"/>
    <w:rsid w:val="00D764C0"/>
    <w:rsid w:val="00D7796A"/>
    <w:rsid w:val="00D87299"/>
    <w:rsid w:val="00D87A96"/>
    <w:rsid w:val="00D965E9"/>
    <w:rsid w:val="00D97B99"/>
    <w:rsid w:val="00DA7FF2"/>
    <w:rsid w:val="00DB19F7"/>
    <w:rsid w:val="00DB7502"/>
    <w:rsid w:val="00DC1D84"/>
    <w:rsid w:val="00DF0AAA"/>
    <w:rsid w:val="00DF0CA0"/>
    <w:rsid w:val="00DF1050"/>
    <w:rsid w:val="00DF50F1"/>
    <w:rsid w:val="00E022F6"/>
    <w:rsid w:val="00E057CA"/>
    <w:rsid w:val="00E07FC0"/>
    <w:rsid w:val="00E23D62"/>
    <w:rsid w:val="00E2595F"/>
    <w:rsid w:val="00E279AE"/>
    <w:rsid w:val="00E44DB6"/>
    <w:rsid w:val="00E667C6"/>
    <w:rsid w:val="00E779C6"/>
    <w:rsid w:val="00E95DE7"/>
    <w:rsid w:val="00E968C6"/>
    <w:rsid w:val="00EA18C2"/>
    <w:rsid w:val="00EB0C79"/>
    <w:rsid w:val="00EC4443"/>
    <w:rsid w:val="00EE38C0"/>
    <w:rsid w:val="00EF0789"/>
    <w:rsid w:val="00F00390"/>
    <w:rsid w:val="00F004E4"/>
    <w:rsid w:val="00F029A2"/>
    <w:rsid w:val="00F071E4"/>
    <w:rsid w:val="00F240DD"/>
    <w:rsid w:val="00F24A3E"/>
    <w:rsid w:val="00F364D9"/>
    <w:rsid w:val="00F4148E"/>
    <w:rsid w:val="00F45CDF"/>
    <w:rsid w:val="00FA1815"/>
    <w:rsid w:val="00FA3CA0"/>
    <w:rsid w:val="00FA5798"/>
    <w:rsid w:val="00FB4C78"/>
    <w:rsid w:val="00FD2C41"/>
    <w:rsid w:val="00FE0DA0"/>
    <w:rsid w:val="00FE0F87"/>
    <w:rsid w:val="00FE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9CABE"/>
  <w15:chartTrackingRefBased/>
  <w15:docId w15:val="{3A501520-CA90-47A8-AC00-9FBFA05D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7D"/>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011A"/>
    <w:pPr>
      <w:keepNext/>
      <w:spacing w:after="0"/>
      <w:jc w:val="center"/>
      <w:outlineLvl w:val="0"/>
    </w:pPr>
    <w:rPr>
      <w:rFonts w:ascii="Bookman Old Style" w:hAnsi="Bookman Old Style"/>
      <w:b/>
      <w:sz w:val="28"/>
    </w:rPr>
  </w:style>
  <w:style w:type="paragraph" w:styleId="Heading2">
    <w:name w:val="heading 2"/>
    <w:basedOn w:val="Normal"/>
    <w:next w:val="Normal"/>
    <w:link w:val="Heading2Char"/>
    <w:qFormat/>
    <w:rsid w:val="0021011A"/>
    <w:pPr>
      <w:keepNext/>
      <w:spacing w:before="240" w:after="60"/>
      <w:jc w:val="left"/>
      <w:outlineLvl w:val="1"/>
    </w:pPr>
    <w:rPr>
      <w:rFonts w:ascii="Bookman Old Style" w:hAnsi="Bookman Old Style" w:cs="Arial"/>
      <w:b/>
      <w:bCs/>
      <w:i/>
      <w:iCs/>
      <w:sz w:val="28"/>
      <w:szCs w:val="28"/>
    </w:rPr>
  </w:style>
  <w:style w:type="paragraph" w:styleId="Heading3">
    <w:name w:val="heading 3"/>
    <w:basedOn w:val="Normal"/>
    <w:next w:val="Normal"/>
    <w:link w:val="Heading3Char"/>
    <w:qFormat/>
    <w:rsid w:val="0021011A"/>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11A"/>
    <w:rPr>
      <w:rFonts w:ascii="Bookman Old Style" w:eastAsia="Times New Roman" w:hAnsi="Bookman Old Style" w:cs="Times New Roman"/>
      <w:b/>
      <w:sz w:val="28"/>
      <w:szCs w:val="24"/>
    </w:rPr>
  </w:style>
  <w:style w:type="character" w:customStyle="1" w:styleId="Heading2Char">
    <w:name w:val="Heading 2 Char"/>
    <w:basedOn w:val="DefaultParagraphFont"/>
    <w:link w:val="Heading2"/>
    <w:rsid w:val="0021011A"/>
    <w:rPr>
      <w:rFonts w:ascii="Bookman Old Style" w:eastAsia="Times New Roman" w:hAnsi="Bookman Old Style" w:cs="Arial"/>
      <w:b/>
      <w:bCs/>
      <w:i/>
      <w:iCs/>
      <w:sz w:val="28"/>
      <w:szCs w:val="28"/>
    </w:rPr>
  </w:style>
  <w:style w:type="character" w:customStyle="1" w:styleId="Heading3Char">
    <w:name w:val="Heading 3 Char"/>
    <w:basedOn w:val="DefaultParagraphFont"/>
    <w:link w:val="Heading3"/>
    <w:rsid w:val="0021011A"/>
    <w:rPr>
      <w:rFonts w:ascii="Arial" w:eastAsia="Times New Roman" w:hAnsi="Arial" w:cs="Arial"/>
      <w:b/>
      <w:bCs/>
      <w:sz w:val="26"/>
      <w:szCs w:val="26"/>
    </w:rPr>
  </w:style>
  <w:style w:type="paragraph" w:styleId="ListParagraph">
    <w:name w:val="List Paragraph"/>
    <w:basedOn w:val="Normal"/>
    <w:link w:val="ListParagraphChar"/>
    <w:uiPriority w:val="34"/>
    <w:qFormat/>
    <w:rsid w:val="0021011A"/>
    <w:pPr>
      <w:spacing w:after="0"/>
      <w:ind w:left="720"/>
      <w:contextualSpacing/>
      <w:jc w:val="left"/>
    </w:pPr>
  </w:style>
  <w:style w:type="character" w:customStyle="1" w:styleId="ListParagraphChar">
    <w:name w:val="List Paragraph Char"/>
    <w:basedOn w:val="DefaultParagraphFont"/>
    <w:link w:val="ListParagraph"/>
    <w:uiPriority w:val="34"/>
    <w:locked/>
    <w:rsid w:val="0021011A"/>
    <w:rPr>
      <w:rFonts w:ascii="Times New Roman" w:eastAsia="Times New Roman" w:hAnsi="Times New Roman" w:cs="Times New Roman"/>
      <w:sz w:val="24"/>
      <w:szCs w:val="24"/>
    </w:rPr>
  </w:style>
  <w:style w:type="paragraph" w:styleId="Caption">
    <w:name w:val="caption"/>
    <w:basedOn w:val="Normal"/>
    <w:next w:val="Normal"/>
    <w:uiPriority w:val="35"/>
    <w:qFormat/>
    <w:rsid w:val="0021011A"/>
    <w:pPr>
      <w:spacing w:after="0"/>
      <w:jc w:val="left"/>
    </w:pPr>
    <w:rPr>
      <w:b/>
      <w:bCs/>
      <w:sz w:val="20"/>
      <w:szCs w:val="20"/>
    </w:rPr>
  </w:style>
  <w:style w:type="paragraph" w:styleId="BalloonText">
    <w:name w:val="Balloon Text"/>
    <w:basedOn w:val="Normal"/>
    <w:link w:val="BalloonTextChar"/>
    <w:uiPriority w:val="99"/>
    <w:semiHidden/>
    <w:unhideWhenUsed/>
    <w:rsid w:val="0021011A"/>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11A"/>
    <w:rPr>
      <w:rFonts w:ascii="Tahoma" w:eastAsia="Times New Roman" w:hAnsi="Tahoma" w:cs="Tahoma"/>
      <w:sz w:val="16"/>
      <w:szCs w:val="16"/>
    </w:rPr>
  </w:style>
  <w:style w:type="paragraph" w:customStyle="1" w:styleId="ParagraphNumbering">
    <w:name w:val="Paragraph Numbering"/>
    <w:basedOn w:val="Normal"/>
    <w:link w:val="ParagraphNumberingCharChar"/>
    <w:uiPriority w:val="99"/>
    <w:qFormat/>
    <w:rsid w:val="0021011A"/>
    <w:pPr>
      <w:numPr>
        <w:numId w:val="7"/>
      </w:numPr>
      <w:spacing w:after="240" w:line="264" w:lineRule="auto"/>
      <w:jc w:val="left"/>
    </w:pPr>
    <w:rPr>
      <w:lang w:val="en-US"/>
    </w:rPr>
  </w:style>
  <w:style w:type="character" w:customStyle="1" w:styleId="ParagraphNumberingCharChar">
    <w:name w:val="Paragraph Numbering Char Char"/>
    <w:basedOn w:val="DefaultParagraphFont"/>
    <w:link w:val="ParagraphNumbering"/>
    <w:uiPriority w:val="99"/>
    <w:rsid w:val="0021011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1011A"/>
    <w:pPr>
      <w:tabs>
        <w:tab w:val="center" w:pos="4320"/>
        <w:tab w:val="right" w:pos="8640"/>
      </w:tabs>
      <w:spacing w:after="0"/>
      <w:jc w:val="left"/>
    </w:pPr>
  </w:style>
  <w:style w:type="character" w:customStyle="1" w:styleId="FooterChar">
    <w:name w:val="Footer Char"/>
    <w:basedOn w:val="DefaultParagraphFont"/>
    <w:link w:val="Footer"/>
    <w:uiPriority w:val="99"/>
    <w:rsid w:val="0021011A"/>
    <w:rPr>
      <w:rFonts w:ascii="Times New Roman" w:eastAsia="Times New Roman" w:hAnsi="Times New Roman" w:cs="Times New Roman"/>
      <w:sz w:val="24"/>
      <w:szCs w:val="24"/>
    </w:rPr>
  </w:style>
  <w:style w:type="character" w:styleId="PageNumber">
    <w:name w:val="page number"/>
    <w:basedOn w:val="DefaultParagraphFont"/>
    <w:rsid w:val="0021011A"/>
  </w:style>
  <w:style w:type="paragraph" w:styleId="Header">
    <w:name w:val="header"/>
    <w:basedOn w:val="Normal"/>
    <w:link w:val="HeaderChar"/>
    <w:rsid w:val="0021011A"/>
    <w:pPr>
      <w:tabs>
        <w:tab w:val="center" w:pos="4320"/>
        <w:tab w:val="right" w:pos="8640"/>
      </w:tabs>
      <w:spacing w:after="0"/>
      <w:jc w:val="left"/>
    </w:pPr>
  </w:style>
  <w:style w:type="character" w:customStyle="1" w:styleId="HeaderChar">
    <w:name w:val="Header Char"/>
    <w:basedOn w:val="DefaultParagraphFont"/>
    <w:link w:val="Header"/>
    <w:rsid w:val="0021011A"/>
    <w:rPr>
      <w:rFonts w:ascii="Times New Roman" w:eastAsia="Times New Roman" w:hAnsi="Times New Roman" w:cs="Times New Roman"/>
      <w:sz w:val="24"/>
      <w:szCs w:val="24"/>
    </w:rPr>
  </w:style>
  <w:style w:type="paragraph" w:customStyle="1" w:styleId="xl33">
    <w:name w:val="xl33"/>
    <w:basedOn w:val="Normal"/>
    <w:rsid w:val="0021011A"/>
    <w:pPr>
      <w:pBdr>
        <w:bottom w:val="single" w:sz="4" w:space="0" w:color="auto"/>
      </w:pBdr>
      <w:spacing w:before="100" w:beforeAutospacing="1" w:after="100" w:afterAutospacing="1"/>
      <w:jc w:val="center"/>
    </w:pPr>
    <w:rPr>
      <w:rFonts w:ascii="Goudy Old Style" w:hAnsi="Goudy Old Style" w:cs="Arial"/>
      <w:szCs w:val="22"/>
      <w:lang w:val="en-US"/>
    </w:rPr>
  </w:style>
  <w:style w:type="paragraph" w:styleId="TOC1">
    <w:name w:val="toc 1"/>
    <w:basedOn w:val="Normal"/>
    <w:next w:val="Normal"/>
    <w:autoRedefine/>
    <w:uiPriority w:val="39"/>
    <w:rsid w:val="0021011A"/>
    <w:pPr>
      <w:tabs>
        <w:tab w:val="right" w:leader="dot" w:pos="8630"/>
      </w:tabs>
      <w:spacing w:before="120"/>
      <w:jc w:val="left"/>
    </w:pPr>
    <w:rPr>
      <w:b/>
      <w:bCs/>
      <w:caps/>
      <w:sz w:val="20"/>
      <w:szCs w:val="20"/>
    </w:rPr>
  </w:style>
  <w:style w:type="paragraph" w:styleId="TOC2">
    <w:name w:val="toc 2"/>
    <w:basedOn w:val="Normal"/>
    <w:next w:val="Normal"/>
    <w:autoRedefine/>
    <w:uiPriority w:val="39"/>
    <w:rsid w:val="0021011A"/>
    <w:pPr>
      <w:spacing w:after="0"/>
      <w:ind w:left="240"/>
      <w:jc w:val="left"/>
    </w:pPr>
    <w:rPr>
      <w:smallCaps/>
      <w:sz w:val="20"/>
      <w:szCs w:val="20"/>
    </w:rPr>
  </w:style>
  <w:style w:type="paragraph" w:styleId="TOC3">
    <w:name w:val="toc 3"/>
    <w:basedOn w:val="Normal"/>
    <w:next w:val="Normal"/>
    <w:autoRedefine/>
    <w:uiPriority w:val="39"/>
    <w:rsid w:val="0021011A"/>
    <w:pPr>
      <w:spacing w:after="0"/>
      <w:ind w:left="480"/>
      <w:jc w:val="left"/>
    </w:pPr>
    <w:rPr>
      <w:i/>
      <w:iCs/>
      <w:sz w:val="20"/>
      <w:szCs w:val="20"/>
    </w:rPr>
  </w:style>
  <w:style w:type="character" w:styleId="Hyperlink">
    <w:name w:val="Hyperlink"/>
    <w:basedOn w:val="DefaultParagraphFont"/>
    <w:uiPriority w:val="99"/>
    <w:rsid w:val="0021011A"/>
    <w:rPr>
      <w:color w:val="0000FF"/>
      <w:u w:val="single"/>
    </w:rPr>
  </w:style>
  <w:style w:type="character" w:styleId="CommentReference">
    <w:name w:val="annotation reference"/>
    <w:basedOn w:val="DefaultParagraphFont"/>
    <w:uiPriority w:val="99"/>
    <w:semiHidden/>
    <w:unhideWhenUsed/>
    <w:rsid w:val="0021011A"/>
    <w:rPr>
      <w:sz w:val="16"/>
      <w:szCs w:val="16"/>
    </w:rPr>
  </w:style>
  <w:style w:type="paragraph" w:styleId="CommentText">
    <w:name w:val="annotation text"/>
    <w:basedOn w:val="Normal"/>
    <w:link w:val="CommentTextChar"/>
    <w:uiPriority w:val="99"/>
    <w:semiHidden/>
    <w:unhideWhenUsed/>
    <w:rsid w:val="0021011A"/>
    <w:pPr>
      <w:spacing w:after="0"/>
      <w:jc w:val="left"/>
    </w:pPr>
    <w:rPr>
      <w:sz w:val="20"/>
      <w:szCs w:val="20"/>
    </w:rPr>
  </w:style>
  <w:style w:type="character" w:customStyle="1" w:styleId="CommentTextChar">
    <w:name w:val="Comment Text Char"/>
    <w:basedOn w:val="DefaultParagraphFont"/>
    <w:link w:val="CommentText"/>
    <w:uiPriority w:val="99"/>
    <w:semiHidden/>
    <w:rsid w:val="0021011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1011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1011A"/>
    <w:rPr>
      <w:b/>
      <w:bCs/>
    </w:rPr>
  </w:style>
  <w:style w:type="paragraph" w:styleId="FootnoteText">
    <w:name w:val="footnote text"/>
    <w:basedOn w:val="Normal"/>
    <w:link w:val="FootnoteTextChar"/>
    <w:uiPriority w:val="99"/>
    <w:semiHidden/>
    <w:unhideWhenUsed/>
    <w:rsid w:val="0021011A"/>
    <w:pPr>
      <w:spacing w:after="0"/>
      <w:jc w:val="left"/>
    </w:pPr>
    <w:rPr>
      <w:sz w:val="20"/>
      <w:szCs w:val="20"/>
    </w:rPr>
  </w:style>
  <w:style w:type="character" w:customStyle="1" w:styleId="FootnoteTextChar">
    <w:name w:val="Footnote Text Char"/>
    <w:basedOn w:val="DefaultParagraphFont"/>
    <w:link w:val="FootnoteText"/>
    <w:uiPriority w:val="99"/>
    <w:semiHidden/>
    <w:rsid w:val="002101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011A"/>
    <w:rPr>
      <w:vertAlign w:val="superscript"/>
    </w:rPr>
  </w:style>
  <w:style w:type="table" w:styleId="TableGrid">
    <w:name w:val="Table Grid"/>
    <w:basedOn w:val="TableNormal"/>
    <w:uiPriority w:val="39"/>
    <w:rsid w:val="0021011A"/>
    <w:pPr>
      <w:spacing w:after="0"/>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11A"/>
    <w:pPr>
      <w:autoSpaceDE w:val="0"/>
      <w:autoSpaceDN w:val="0"/>
      <w:adjustRightInd w:val="0"/>
      <w:spacing w:after="0"/>
    </w:pPr>
    <w:rPr>
      <w:rFonts w:ascii="Times New Roman" w:hAnsi="Times New Roman" w:cs="Times New Roman"/>
      <w:color w:val="000000"/>
      <w:sz w:val="24"/>
      <w:szCs w:val="24"/>
      <w:lang w:val="en-US"/>
    </w:rPr>
  </w:style>
  <w:style w:type="character" w:customStyle="1" w:styleId="EndnoteTextChar">
    <w:name w:val="Endnote Text Char"/>
    <w:basedOn w:val="DefaultParagraphFont"/>
    <w:link w:val="EndnoteText"/>
    <w:uiPriority w:val="99"/>
    <w:semiHidden/>
    <w:rsid w:val="0021011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1011A"/>
    <w:pPr>
      <w:spacing w:after="0"/>
      <w:jc w:val="left"/>
    </w:pPr>
    <w:rPr>
      <w:sz w:val="20"/>
      <w:szCs w:val="20"/>
    </w:rPr>
  </w:style>
  <w:style w:type="paragraph" w:styleId="TOCHeading">
    <w:name w:val="TOC Heading"/>
    <w:basedOn w:val="Heading1"/>
    <w:next w:val="Normal"/>
    <w:uiPriority w:val="39"/>
    <w:unhideWhenUsed/>
    <w:qFormat/>
    <w:rsid w:val="0021011A"/>
    <w:pPr>
      <w:keepLines/>
      <w:spacing w:before="240" w:line="259" w:lineRule="auto"/>
      <w:jc w:val="left"/>
      <w:outlineLvl w:val="9"/>
    </w:pPr>
    <w:rPr>
      <w:rFonts w:asciiTheme="majorHAnsi" w:eastAsiaTheme="majorEastAsia" w:hAnsiTheme="majorHAnsi" w:cstheme="majorBidi"/>
      <w:b w:val="0"/>
      <w:color w:val="B35E06" w:themeColor="accent1" w:themeShade="BF"/>
      <w:sz w:val="32"/>
      <w:szCs w:val="32"/>
      <w:lang w:val="en-US"/>
    </w:rPr>
  </w:style>
  <w:style w:type="paragraph" w:styleId="NormalWeb">
    <w:name w:val="Normal (Web)"/>
    <w:basedOn w:val="Normal"/>
    <w:uiPriority w:val="99"/>
    <w:semiHidden/>
    <w:unhideWhenUsed/>
    <w:rsid w:val="0027378F"/>
    <w:pPr>
      <w:spacing w:before="100" w:beforeAutospacing="1" w:after="100" w:afterAutospacing="1"/>
      <w:jc w:val="left"/>
    </w:pPr>
    <w:rPr>
      <w:rFonts w:eastAsiaTheme="minorEastAsia"/>
      <w:lang w:eastAsia="en-GB"/>
    </w:rPr>
  </w:style>
  <w:style w:type="paragraph" w:styleId="TableofFigures">
    <w:name w:val="table of figures"/>
    <w:aliases w:val="bookman"/>
    <w:basedOn w:val="Normal"/>
    <w:next w:val="Normal"/>
    <w:uiPriority w:val="99"/>
    <w:unhideWhenUsed/>
    <w:rsid w:val="003D69D8"/>
    <w:pPr>
      <w:spacing w:after="0"/>
      <w:ind w:left="480" w:hanging="480"/>
      <w:jc w:val="left"/>
    </w:pPr>
    <w:rPr>
      <w:rFonts w:asciiTheme="minorHAnsi" w:hAnsiTheme="minorHAnsi" w:cs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536">
      <w:bodyDiv w:val="1"/>
      <w:marLeft w:val="0"/>
      <w:marRight w:val="0"/>
      <w:marTop w:val="0"/>
      <w:marBottom w:val="0"/>
      <w:divBdr>
        <w:top w:val="none" w:sz="0" w:space="0" w:color="auto"/>
        <w:left w:val="none" w:sz="0" w:space="0" w:color="auto"/>
        <w:bottom w:val="none" w:sz="0" w:space="0" w:color="auto"/>
        <w:right w:val="none" w:sz="0" w:space="0" w:color="auto"/>
      </w:divBdr>
    </w:div>
    <w:div w:id="141393021">
      <w:bodyDiv w:val="1"/>
      <w:marLeft w:val="0"/>
      <w:marRight w:val="0"/>
      <w:marTop w:val="0"/>
      <w:marBottom w:val="0"/>
      <w:divBdr>
        <w:top w:val="none" w:sz="0" w:space="0" w:color="auto"/>
        <w:left w:val="none" w:sz="0" w:space="0" w:color="auto"/>
        <w:bottom w:val="none" w:sz="0" w:space="0" w:color="auto"/>
        <w:right w:val="none" w:sz="0" w:space="0" w:color="auto"/>
      </w:divBdr>
    </w:div>
    <w:div w:id="213348295">
      <w:bodyDiv w:val="1"/>
      <w:marLeft w:val="0"/>
      <w:marRight w:val="0"/>
      <w:marTop w:val="0"/>
      <w:marBottom w:val="0"/>
      <w:divBdr>
        <w:top w:val="none" w:sz="0" w:space="0" w:color="auto"/>
        <w:left w:val="none" w:sz="0" w:space="0" w:color="auto"/>
        <w:bottom w:val="none" w:sz="0" w:space="0" w:color="auto"/>
        <w:right w:val="none" w:sz="0" w:space="0" w:color="auto"/>
      </w:divBdr>
    </w:div>
    <w:div w:id="349650399">
      <w:bodyDiv w:val="1"/>
      <w:marLeft w:val="0"/>
      <w:marRight w:val="0"/>
      <w:marTop w:val="0"/>
      <w:marBottom w:val="0"/>
      <w:divBdr>
        <w:top w:val="none" w:sz="0" w:space="0" w:color="auto"/>
        <w:left w:val="none" w:sz="0" w:space="0" w:color="auto"/>
        <w:bottom w:val="none" w:sz="0" w:space="0" w:color="auto"/>
        <w:right w:val="none" w:sz="0" w:space="0" w:color="auto"/>
      </w:divBdr>
    </w:div>
    <w:div w:id="480924409">
      <w:bodyDiv w:val="1"/>
      <w:marLeft w:val="0"/>
      <w:marRight w:val="0"/>
      <w:marTop w:val="0"/>
      <w:marBottom w:val="0"/>
      <w:divBdr>
        <w:top w:val="none" w:sz="0" w:space="0" w:color="auto"/>
        <w:left w:val="none" w:sz="0" w:space="0" w:color="auto"/>
        <w:bottom w:val="none" w:sz="0" w:space="0" w:color="auto"/>
        <w:right w:val="none" w:sz="0" w:space="0" w:color="auto"/>
      </w:divBdr>
    </w:div>
    <w:div w:id="489562882">
      <w:bodyDiv w:val="1"/>
      <w:marLeft w:val="0"/>
      <w:marRight w:val="0"/>
      <w:marTop w:val="0"/>
      <w:marBottom w:val="0"/>
      <w:divBdr>
        <w:top w:val="none" w:sz="0" w:space="0" w:color="auto"/>
        <w:left w:val="none" w:sz="0" w:space="0" w:color="auto"/>
        <w:bottom w:val="none" w:sz="0" w:space="0" w:color="auto"/>
        <w:right w:val="none" w:sz="0" w:space="0" w:color="auto"/>
      </w:divBdr>
    </w:div>
    <w:div w:id="596527705">
      <w:bodyDiv w:val="1"/>
      <w:marLeft w:val="0"/>
      <w:marRight w:val="0"/>
      <w:marTop w:val="0"/>
      <w:marBottom w:val="0"/>
      <w:divBdr>
        <w:top w:val="none" w:sz="0" w:space="0" w:color="auto"/>
        <w:left w:val="none" w:sz="0" w:space="0" w:color="auto"/>
        <w:bottom w:val="none" w:sz="0" w:space="0" w:color="auto"/>
        <w:right w:val="none" w:sz="0" w:space="0" w:color="auto"/>
      </w:divBdr>
    </w:div>
    <w:div w:id="705253315">
      <w:bodyDiv w:val="1"/>
      <w:marLeft w:val="0"/>
      <w:marRight w:val="0"/>
      <w:marTop w:val="0"/>
      <w:marBottom w:val="0"/>
      <w:divBdr>
        <w:top w:val="none" w:sz="0" w:space="0" w:color="auto"/>
        <w:left w:val="none" w:sz="0" w:space="0" w:color="auto"/>
        <w:bottom w:val="none" w:sz="0" w:space="0" w:color="auto"/>
        <w:right w:val="none" w:sz="0" w:space="0" w:color="auto"/>
      </w:divBdr>
    </w:div>
    <w:div w:id="764961339">
      <w:bodyDiv w:val="1"/>
      <w:marLeft w:val="0"/>
      <w:marRight w:val="0"/>
      <w:marTop w:val="0"/>
      <w:marBottom w:val="0"/>
      <w:divBdr>
        <w:top w:val="none" w:sz="0" w:space="0" w:color="auto"/>
        <w:left w:val="none" w:sz="0" w:space="0" w:color="auto"/>
        <w:bottom w:val="none" w:sz="0" w:space="0" w:color="auto"/>
        <w:right w:val="none" w:sz="0" w:space="0" w:color="auto"/>
      </w:divBdr>
    </w:div>
    <w:div w:id="778376120">
      <w:bodyDiv w:val="1"/>
      <w:marLeft w:val="0"/>
      <w:marRight w:val="0"/>
      <w:marTop w:val="0"/>
      <w:marBottom w:val="0"/>
      <w:divBdr>
        <w:top w:val="none" w:sz="0" w:space="0" w:color="auto"/>
        <w:left w:val="none" w:sz="0" w:space="0" w:color="auto"/>
        <w:bottom w:val="none" w:sz="0" w:space="0" w:color="auto"/>
        <w:right w:val="none" w:sz="0" w:space="0" w:color="auto"/>
      </w:divBdr>
    </w:div>
    <w:div w:id="784426166">
      <w:bodyDiv w:val="1"/>
      <w:marLeft w:val="0"/>
      <w:marRight w:val="0"/>
      <w:marTop w:val="0"/>
      <w:marBottom w:val="0"/>
      <w:divBdr>
        <w:top w:val="none" w:sz="0" w:space="0" w:color="auto"/>
        <w:left w:val="none" w:sz="0" w:space="0" w:color="auto"/>
        <w:bottom w:val="none" w:sz="0" w:space="0" w:color="auto"/>
        <w:right w:val="none" w:sz="0" w:space="0" w:color="auto"/>
      </w:divBdr>
    </w:div>
    <w:div w:id="826676836">
      <w:bodyDiv w:val="1"/>
      <w:marLeft w:val="0"/>
      <w:marRight w:val="0"/>
      <w:marTop w:val="0"/>
      <w:marBottom w:val="0"/>
      <w:divBdr>
        <w:top w:val="none" w:sz="0" w:space="0" w:color="auto"/>
        <w:left w:val="none" w:sz="0" w:space="0" w:color="auto"/>
        <w:bottom w:val="none" w:sz="0" w:space="0" w:color="auto"/>
        <w:right w:val="none" w:sz="0" w:space="0" w:color="auto"/>
      </w:divBdr>
    </w:div>
    <w:div w:id="831407028">
      <w:bodyDiv w:val="1"/>
      <w:marLeft w:val="0"/>
      <w:marRight w:val="0"/>
      <w:marTop w:val="0"/>
      <w:marBottom w:val="0"/>
      <w:divBdr>
        <w:top w:val="none" w:sz="0" w:space="0" w:color="auto"/>
        <w:left w:val="none" w:sz="0" w:space="0" w:color="auto"/>
        <w:bottom w:val="none" w:sz="0" w:space="0" w:color="auto"/>
        <w:right w:val="none" w:sz="0" w:space="0" w:color="auto"/>
      </w:divBdr>
    </w:div>
    <w:div w:id="834682607">
      <w:bodyDiv w:val="1"/>
      <w:marLeft w:val="0"/>
      <w:marRight w:val="0"/>
      <w:marTop w:val="0"/>
      <w:marBottom w:val="0"/>
      <w:divBdr>
        <w:top w:val="none" w:sz="0" w:space="0" w:color="auto"/>
        <w:left w:val="none" w:sz="0" w:space="0" w:color="auto"/>
        <w:bottom w:val="none" w:sz="0" w:space="0" w:color="auto"/>
        <w:right w:val="none" w:sz="0" w:space="0" w:color="auto"/>
      </w:divBdr>
    </w:div>
    <w:div w:id="923800643">
      <w:bodyDiv w:val="1"/>
      <w:marLeft w:val="0"/>
      <w:marRight w:val="0"/>
      <w:marTop w:val="0"/>
      <w:marBottom w:val="0"/>
      <w:divBdr>
        <w:top w:val="none" w:sz="0" w:space="0" w:color="auto"/>
        <w:left w:val="none" w:sz="0" w:space="0" w:color="auto"/>
        <w:bottom w:val="none" w:sz="0" w:space="0" w:color="auto"/>
        <w:right w:val="none" w:sz="0" w:space="0" w:color="auto"/>
      </w:divBdr>
    </w:div>
    <w:div w:id="936669401">
      <w:bodyDiv w:val="1"/>
      <w:marLeft w:val="0"/>
      <w:marRight w:val="0"/>
      <w:marTop w:val="0"/>
      <w:marBottom w:val="0"/>
      <w:divBdr>
        <w:top w:val="none" w:sz="0" w:space="0" w:color="auto"/>
        <w:left w:val="none" w:sz="0" w:space="0" w:color="auto"/>
        <w:bottom w:val="none" w:sz="0" w:space="0" w:color="auto"/>
        <w:right w:val="none" w:sz="0" w:space="0" w:color="auto"/>
      </w:divBdr>
    </w:div>
    <w:div w:id="964505809">
      <w:bodyDiv w:val="1"/>
      <w:marLeft w:val="0"/>
      <w:marRight w:val="0"/>
      <w:marTop w:val="0"/>
      <w:marBottom w:val="0"/>
      <w:divBdr>
        <w:top w:val="none" w:sz="0" w:space="0" w:color="auto"/>
        <w:left w:val="none" w:sz="0" w:space="0" w:color="auto"/>
        <w:bottom w:val="none" w:sz="0" w:space="0" w:color="auto"/>
        <w:right w:val="none" w:sz="0" w:space="0" w:color="auto"/>
      </w:divBdr>
    </w:div>
    <w:div w:id="1012609788">
      <w:bodyDiv w:val="1"/>
      <w:marLeft w:val="0"/>
      <w:marRight w:val="0"/>
      <w:marTop w:val="0"/>
      <w:marBottom w:val="0"/>
      <w:divBdr>
        <w:top w:val="none" w:sz="0" w:space="0" w:color="auto"/>
        <w:left w:val="none" w:sz="0" w:space="0" w:color="auto"/>
        <w:bottom w:val="none" w:sz="0" w:space="0" w:color="auto"/>
        <w:right w:val="none" w:sz="0" w:space="0" w:color="auto"/>
      </w:divBdr>
    </w:div>
    <w:div w:id="1036463159">
      <w:bodyDiv w:val="1"/>
      <w:marLeft w:val="0"/>
      <w:marRight w:val="0"/>
      <w:marTop w:val="0"/>
      <w:marBottom w:val="0"/>
      <w:divBdr>
        <w:top w:val="none" w:sz="0" w:space="0" w:color="auto"/>
        <w:left w:val="none" w:sz="0" w:space="0" w:color="auto"/>
        <w:bottom w:val="none" w:sz="0" w:space="0" w:color="auto"/>
        <w:right w:val="none" w:sz="0" w:space="0" w:color="auto"/>
      </w:divBdr>
    </w:div>
    <w:div w:id="1058282049">
      <w:bodyDiv w:val="1"/>
      <w:marLeft w:val="0"/>
      <w:marRight w:val="0"/>
      <w:marTop w:val="0"/>
      <w:marBottom w:val="0"/>
      <w:divBdr>
        <w:top w:val="none" w:sz="0" w:space="0" w:color="auto"/>
        <w:left w:val="none" w:sz="0" w:space="0" w:color="auto"/>
        <w:bottom w:val="none" w:sz="0" w:space="0" w:color="auto"/>
        <w:right w:val="none" w:sz="0" w:space="0" w:color="auto"/>
      </w:divBdr>
    </w:div>
    <w:div w:id="1069424359">
      <w:bodyDiv w:val="1"/>
      <w:marLeft w:val="0"/>
      <w:marRight w:val="0"/>
      <w:marTop w:val="0"/>
      <w:marBottom w:val="0"/>
      <w:divBdr>
        <w:top w:val="none" w:sz="0" w:space="0" w:color="auto"/>
        <w:left w:val="none" w:sz="0" w:space="0" w:color="auto"/>
        <w:bottom w:val="none" w:sz="0" w:space="0" w:color="auto"/>
        <w:right w:val="none" w:sz="0" w:space="0" w:color="auto"/>
      </w:divBdr>
    </w:div>
    <w:div w:id="1077746657">
      <w:bodyDiv w:val="1"/>
      <w:marLeft w:val="0"/>
      <w:marRight w:val="0"/>
      <w:marTop w:val="0"/>
      <w:marBottom w:val="0"/>
      <w:divBdr>
        <w:top w:val="none" w:sz="0" w:space="0" w:color="auto"/>
        <w:left w:val="none" w:sz="0" w:space="0" w:color="auto"/>
        <w:bottom w:val="none" w:sz="0" w:space="0" w:color="auto"/>
        <w:right w:val="none" w:sz="0" w:space="0" w:color="auto"/>
      </w:divBdr>
    </w:div>
    <w:div w:id="1108424974">
      <w:bodyDiv w:val="1"/>
      <w:marLeft w:val="0"/>
      <w:marRight w:val="0"/>
      <w:marTop w:val="0"/>
      <w:marBottom w:val="0"/>
      <w:divBdr>
        <w:top w:val="none" w:sz="0" w:space="0" w:color="auto"/>
        <w:left w:val="none" w:sz="0" w:space="0" w:color="auto"/>
        <w:bottom w:val="none" w:sz="0" w:space="0" w:color="auto"/>
        <w:right w:val="none" w:sz="0" w:space="0" w:color="auto"/>
      </w:divBdr>
    </w:div>
    <w:div w:id="1136096284">
      <w:bodyDiv w:val="1"/>
      <w:marLeft w:val="0"/>
      <w:marRight w:val="0"/>
      <w:marTop w:val="0"/>
      <w:marBottom w:val="0"/>
      <w:divBdr>
        <w:top w:val="none" w:sz="0" w:space="0" w:color="auto"/>
        <w:left w:val="none" w:sz="0" w:space="0" w:color="auto"/>
        <w:bottom w:val="none" w:sz="0" w:space="0" w:color="auto"/>
        <w:right w:val="none" w:sz="0" w:space="0" w:color="auto"/>
      </w:divBdr>
    </w:div>
    <w:div w:id="1195464283">
      <w:bodyDiv w:val="1"/>
      <w:marLeft w:val="0"/>
      <w:marRight w:val="0"/>
      <w:marTop w:val="0"/>
      <w:marBottom w:val="0"/>
      <w:divBdr>
        <w:top w:val="none" w:sz="0" w:space="0" w:color="auto"/>
        <w:left w:val="none" w:sz="0" w:space="0" w:color="auto"/>
        <w:bottom w:val="none" w:sz="0" w:space="0" w:color="auto"/>
        <w:right w:val="none" w:sz="0" w:space="0" w:color="auto"/>
      </w:divBdr>
    </w:div>
    <w:div w:id="1216086526">
      <w:bodyDiv w:val="1"/>
      <w:marLeft w:val="0"/>
      <w:marRight w:val="0"/>
      <w:marTop w:val="0"/>
      <w:marBottom w:val="0"/>
      <w:divBdr>
        <w:top w:val="none" w:sz="0" w:space="0" w:color="auto"/>
        <w:left w:val="none" w:sz="0" w:space="0" w:color="auto"/>
        <w:bottom w:val="none" w:sz="0" w:space="0" w:color="auto"/>
        <w:right w:val="none" w:sz="0" w:space="0" w:color="auto"/>
      </w:divBdr>
    </w:div>
    <w:div w:id="1392774441">
      <w:bodyDiv w:val="1"/>
      <w:marLeft w:val="0"/>
      <w:marRight w:val="0"/>
      <w:marTop w:val="0"/>
      <w:marBottom w:val="0"/>
      <w:divBdr>
        <w:top w:val="none" w:sz="0" w:space="0" w:color="auto"/>
        <w:left w:val="none" w:sz="0" w:space="0" w:color="auto"/>
        <w:bottom w:val="none" w:sz="0" w:space="0" w:color="auto"/>
        <w:right w:val="none" w:sz="0" w:space="0" w:color="auto"/>
      </w:divBdr>
    </w:div>
    <w:div w:id="1410076958">
      <w:bodyDiv w:val="1"/>
      <w:marLeft w:val="0"/>
      <w:marRight w:val="0"/>
      <w:marTop w:val="0"/>
      <w:marBottom w:val="0"/>
      <w:divBdr>
        <w:top w:val="none" w:sz="0" w:space="0" w:color="auto"/>
        <w:left w:val="none" w:sz="0" w:space="0" w:color="auto"/>
        <w:bottom w:val="none" w:sz="0" w:space="0" w:color="auto"/>
        <w:right w:val="none" w:sz="0" w:space="0" w:color="auto"/>
      </w:divBdr>
    </w:div>
    <w:div w:id="1475872893">
      <w:bodyDiv w:val="1"/>
      <w:marLeft w:val="0"/>
      <w:marRight w:val="0"/>
      <w:marTop w:val="0"/>
      <w:marBottom w:val="0"/>
      <w:divBdr>
        <w:top w:val="none" w:sz="0" w:space="0" w:color="auto"/>
        <w:left w:val="none" w:sz="0" w:space="0" w:color="auto"/>
        <w:bottom w:val="none" w:sz="0" w:space="0" w:color="auto"/>
        <w:right w:val="none" w:sz="0" w:space="0" w:color="auto"/>
      </w:divBdr>
    </w:div>
    <w:div w:id="1611159963">
      <w:bodyDiv w:val="1"/>
      <w:marLeft w:val="0"/>
      <w:marRight w:val="0"/>
      <w:marTop w:val="0"/>
      <w:marBottom w:val="0"/>
      <w:divBdr>
        <w:top w:val="none" w:sz="0" w:space="0" w:color="auto"/>
        <w:left w:val="none" w:sz="0" w:space="0" w:color="auto"/>
        <w:bottom w:val="none" w:sz="0" w:space="0" w:color="auto"/>
        <w:right w:val="none" w:sz="0" w:space="0" w:color="auto"/>
      </w:divBdr>
    </w:div>
    <w:div w:id="1955165137">
      <w:bodyDiv w:val="1"/>
      <w:marLeft w:val="0"/>
      <w:marRight w:val="0"/>
      <w:marTop w:val="0"/>
      <w:marBottom w:val="0"/>
      <w:divBdr>
        <w:top w:val="none" w:sz="0" w:space="0" w:color="auto"/>
        <w:left w:val="none" w:sz="0" w:space="0" w:color="auto"/>
        <w:bottom w:val="none" w:sz="0" w:space="0" w:color="auto"/>
        <w:right w:val="none" w:sz="0" w:space="0" w:color="auto"/>
      </w:divBdr>
    </w:div>
    <w:div w:id="1983608731">
      <w:bodyDiv w:val="1"/>
      <w:marLeft w:val="0"/>
      <w:marRight w:val="0"/>
      <w:marTop w:val="0"/>
      <w:marBottom w:val="0"/>
      <w:divBdr>
        <w:top w:val="none" w:sz="0" w:space="0" w:color="auto"/>
        <w:left w:val="none" w:sz="0" w:space="0" w:color="auto"/>
        <w:bottom w:val="none" w:sz="0" w:space="0" w:color="auto"/>
        <w:right w:val="none" w:sz="0" w:space="0" w:color="auto"/>
      </w:divBdr>
    </w:div>
    <w:div w:id="1983733215">
      <w:bodyDiv w:val="1"/>
      <w:marLeft w:val="0"/>
      <w:marRight w:val="0"/>
      <w:marTop w:val="0"/>
      <w:marBottom w:val="0"/>
      <w:divBdr>
        <w:top w:val="none" w:sz="0" w:space="0" w:color="auto"/>
        <w:left w:val="none" w:sz="0" w:space="0" w:color="auto"/>
        <w:bottom w:val="none" w:sz="0" w:space="0" w:color="auto"/>
        <w:right w:val="none" w:sz="0" w:space="0" w:color="auto"/>
      </w:divBdr>
    </w:div>
    <w:div w:id="2005039773">
      <w:bodyDiv w:val="1"/>
      <w:marLeft w:val="0"/>
      <w:marRight w:val="0"/>
      <w:marTop w:val="0"/>
      <w:marBottom w:val="0"/>
      <w:divBdr>
        <w:top w:val="none" w:sz="0" w:space="0" w:color="auto"/>
        <w:left w:val="none" w:sz="0" w:space="0" w:color="auto"/>
        <w:bottom w:val="none" w:sz="0" w:space="0" w:color="auto"/>
        <w:right w:val="none" w:sz="0" w:space="0" w:color="auto"/>
      </w:divBdr>
    </w:div>
    <w:div w:id="20804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www.finance.gov.mw" TargetMode="External"/><Relationship Id="rId23" Type="http://schemas.openxmlformats.org/officeDocument/2006/relationships/chart" Target="charts/chart8.xm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nance.gov.mw" TargetMode="External"/><Relationship Id="rId22" Type="http://schemas.openxmlformats.org/officeDocument/2006/relationships/chart" Target="charts/chart7.xml"/><Relationship Id="rId27" Type="http://schemas.openxmlformats.org/officeDocument/2006/relationships/footer" Target="footer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ocuments\Debt%20Management\2021%20Annual%20Debt%20Report\IC%20Vs%20Actual.xlsm"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ocuments\Working%20Papers\Debt\Debt%20Dynamics\DSA%20-data%20compilation.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ANNUAL\Domestic%20Debt%20data%20reques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Documents\Debt%20Management\2021%20Annual%20Debt%20Report\GOMW-Government-External%20Loans-10-26-21%20Anwar%20revis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Documents\Debt%20Management\2021%20Annual%20Debt%20Report\GOMW-Government-External%20Loans-10-26-21%20Anwar%20revis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Documents\Debt%20Management\2021%20Annual%20Debt%20Report\Domestic%20Debt%20data%20request.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Documents\Debt%20Management\2021%20Annual%20Debt%20Report\Domestic%20Debt%20data%20request.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5.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ANNUAL\MTDS-June%202021.xlsm"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27757143564601"/>
          <c:y val="0.23420479302832245"/>
          <c:w val="0.83501443215824434"/>
          <c:h val="0.50847914843977837"/>
        </c:manualLayout>
      </c:layout>
      <c:barChart>
        <c:barDir val="col"/>
        <c:grouping val="clustered"/>
        <c:varyColors val="0"/>
        <c:ser>
          <c:idx val="0"/>
          <c:order val="0"/>
          <c:tx>
            <c:strRef>
              <c:f>'Monthly Summary 202021'!$O$8</c:f>
              <c:strCache>
                <c:ptCount val="1"/>
                <c:pt idx="0">
                  <c:v>Calendar</c:v>
                </c:pt>
              </c:strCache>
            </c:strRef>
          </c:tx>
          <c:spPr>
            <a:solidFill>
              <a:schemeClr val="accent2"/>
            </a:solidFill>
            <a:ln>
              <a:noFill/>
            </a:ln>
            <a:effectLst/>
          </c:spPr>
          <c:invertIfNegative val="0"/>
          <c:cat>
            <c:strRef>
              <c:f>'Monthly Summary 202021'!$N$9:$N$10</c:f>
              <c:strCache>
                <c:ptCount val="2"/>
                <c:pt idx="0">
                  <c:v>Treasury Bills</c:v>
                </c:pt>
                <c:pt idx="1">
                  <c:v>Treasury Notes</c:v>
                </c:pt>
              </c:strCache>
            </c:strRef>
          </c:cat>
          <c:val>
            <c:numRef>
              <c:f>'Monthly Summary 202021'!$O$9:$O$10</c:f>
              <c:numCache>
                <c:formatCode>_-* #,##0_-;\-* #,##0_-;_-* "-"??_-;_-@_-</c:formatCode>
                <c:ptCount val="2"/>
                <c:pt idx="0">
                  <c:v>391364.24660358008</c:v>
                </c:pt>
                <c:pt idx="1">
                  <c:v>748339.49682480993</c:v>
                </c:pt>
              </c:numCache>
            </c:numRef>
          </c:val>
          <c:extLst>
            <c:ext xmlns:c16="http://schemas.microsoft.com/office/drawing/2014/chart" uri="{C3380CC4-5D6E-409C-BE32-E72D297353CC}">
              <c16:uniqueId val="{00000000-CBD6-4451-BD98-5C85DAEDE83B}"/>
            </c:ext>
          </c:extLst>
        </c:ser>
        <c:ser>
          <c:idx val="1"/>
          <c:order val="1"/>
          <c:tx>
            <c:strRef>
              <c:f>'Monthly Summary 202021'!$P$8</c:f>
              <c:strCache>
                <c:ptCount val="1"/>
                <c:pt idx="0">
                  <c:v>Actual</c:v>
                </c:pt>
              </c:strCache>
            </c:strRef>
          </c:tx>
          <c:spPr>
            <a:solidFill>
              <a:schemeClr val="accent4"/>
            </a:solidFill>
            <a:ln>
              <a:noFill/>
            </a:ln>
            <a:effectLst/>
          </c:spPr>
          <c:invertIfNegative val="0"/>
          <c:cat>
            <c:strRef>
              <c:f>'Monthly Summary 202021'!$N$9:$N$10</c:f>
              <c:strCache>
                <c:ptCount val="2"/>
                <c:pt idx="0">
                  <c:v>Treasury Bills</c:v>
                </c:pt>
                <c:pt idx="1">
                  <c:v>Treasury Notes</c:v>
                </c:pt>
              </c:strCache>
            </c:strRef>
          </c:cat>
          <c:val>
            <c:numRef>
              <c:f>'Monthly Summary 202021'!$P$9:$P$10</c:f>
              <c:numCache>
                <c:formatCode>_-* #,##0_-;\-* #,##0_-;_-* "-"??_-;_-@_-</c:formatCode>
                <c:ptCount val="2"/>
                <c:pt idx="0">
                  <c:v>408681</c:v>
                </c:pt>
                <c:pt idx="1">
                  <c:v>655023</c:v>
                </c:pt>
              </c:numCache>
            </c:numRef>
          </c:val>
          <c:extLst>
            <c:ext xmlns:c16="http://schemas.microsoft.com/office/drawing/2014/chart" uri="{C3380CC4-5D6E-409C-BE32-E72D297353CC}">
              <c16:uniqueId val="{00000001-CBD6-4451-BD98-5C85DAEDE83B}"/>
            </c:ext>
          </c:extLst>
        </c:ser>
        <c:dLbls>
          <c:showLegendKey val="0"/>
          <c:showVal val="0"/>
          <c:showCatName val="0"/>
          <c:showSerName val="0"/>
          <c:showPercent val="0"/>
          <c:showBubbleSize val="0"/>
        </c:dLbls>
        <c:gapWidth val="445"/>
        <c:axId val="163768256"/>
        <c:axId val="163793216"/>
      </c:barChart>
      <c:catAx>
        <c:axId val="16376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63793216"/>
        <c:crosses val="autoZero"/>
        <c:auto val="1"/>
        <c:lblAlgn val="ctr"/>
        <c:lblOffset val="100"/>
        <c:noMultiLvlLbl val="0"/>
      </c:catAx>
      <c:valAx>
        <c:axId val="163793216"/>
        <c:scaling>
          <c:orientation val="minMax"/>
        </c:scaling>
        <c:delete val="0"/>
        <c:axPos val="l"/>
        <c:numFmt formatCode="_-* #,##0_-;\-* #,##0_-;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68256"/>
        <c:crosses val="autoZero"/>
        <c:crossBetween val="between"/>
      </c:valAx>
      <c:dTable>
        <c:showHorzBorder val="1"/>
        <c:showVertBorder val="1"/>
        <c:showOutline val="1"/>
        <c:showKeys val="1"/>
        <c:spPr>
          <a:noFill/>
          <a:ln w="0">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alpha val="87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63328390317258E-2"/>
          <c:y val="0.22756066206009962"/>
          <c:w val="0.93614553336653261"/>
          <c:h val="0.67959103326369918"/>
        </c:manualLayout>
      </c:layout>
      <c:barChart>
        <c:barDir val="col"/>
        <c:grouping val="stacked"/>
        <c:varyColors val="0"/>
        <c:ser>
          <c:idx val="2"/>
          <c:order val="2"/>
          <c:tx>
            <c:strRef>
              <c:f>MEM!$A$5</c:f>
              <c:strCache>
                <c:ptCount val="1"/>
                <c:pt idx="0">
                  <c:v>Primary deficit </c:v>
                </c:pt>
              </c:strCache>
            </c:strRef>
          </c:tx>
          <c:spPr>
            <a:solidFill>
              <a:schemeClr val="accent6"/>
            </a:solidFill>
            <a:ln>
              <a:noFill/>
            </a:ln>
            <a:effectLst/>
          </c:spPr>
          <c:invertIfNegative val="0"/>
          <c:cat>
            <c:numRef>
              <c:f>MEM!$B$2:$K$2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MEM!$B$5:$K$5</c:f>
              <c:numCache>
                <c:formatCode>0.0</c:formatCode>
                <c:ptCount val="9"/>
                <c:pt idx="0">
                  <c:v>0.43706492509705797</c:v>
                </c:pt>
                <c:pt idx="1">
                  <c:v>1.1776095936723046</c:v>
                </c:pt>
                <c:pt idx="2">
                  <c:v>1.0012519999481384E-2</c:v>
                </c:pt>
                <c:pt idx="3">
                  <c:v>1.8739170654147195</c:v>
                </c:pt>
                <c:pt idx="4">
                  <c:v>1.8449999181687069</c:v>
                </c:pt>
                <c:pt idx="5">
                  <c:v>2.3850614676499777</c:v>
                </c:pt>
                <c:pt idx="6">
                  <c:v>1.5997242259770381</c:v>
                </c:pt>
                <c:pt idx="7">
                  <c:v>1.4977404492507382</c:v>
                </c:pt>
                <c:pt idx="8">
                  <c:v>4.9898481896477431</c:v>
                </c:pt>
              </c:numCache>
            </c:numRef>
          </c:val>
          <c:extLst>
            <c:ext xmlns:c16="http://schemas.microsoft.com/office/drawing/2014/chart" uri="{C3380CC4-5D6E-409C-BE32-E72D297353CC}">
              <c16:uniqueId val="{00000000-86FD-4D94-9B70-57CF93D01D14}"/>
            </c:ext>
          </c:extLst>
        </c:ser>
        <c:ser>
          <c:idx val="4"/>
          <c:order val="4"/>
          <c:tx>
            <c:strRef>
              <c:f>MEM!$A$16</c:f>
              <c:strCache>
                <c:ptCount val="1"/>
                <c:pt idx="0">
                  <c:v>Exchange rate depreciation </c:v>
                </c:pt>
              </c:strCache>
            </c:strRef>
          </c:tx>
          <c:spPr>
            <a:solidFill>
              <a:schemeClr val="accent4">
                <a:lumMod val="60000"/>
              </a:schemeClr>
            </a:solidFill>
            <a:ln>
              <a:noFill/>
            </a:ln>
            <a:effectLst/>
          </c:spPr>
          <c:invertIfNegative val="0"/>
          <c:cat>
            <c:numRef>
              <c:f>MEM!$B$2:$K$2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MEM!$B$16:$K$16</c:f>
              <c:numCache>
                <c:formatCode>0.0</c:formatCode>
                <c:ptCount val="9"/>
                <c:pt idx="0">
                  <c:v>7.2893328569902058</c:v>
                </c:pt>
                <c:pt idx="1">
                  <c:v>4.1080795821035947</c:v>
                </c:pt>
                <c:pt idx="2">
                  <c:v>1.7031742219086643</c:v>
                </c:pt>
                <c:pt idx="3">
                  <c:v>6.6841722891934134</c:v>
                </c:pt>
                <c:pt idx="4">
                  <c:v>1.8848951756898653</c:v>
                </c:pt>
                <c:pt idx="5">
                  <c:v>9.0536166919067254E-2</c:v>
                </c:pt>
                <c:pt idx="6">
                  <c:v>4.7001558805691991E-2</c:v>
                </c:pt>
                <c:pt idx="7">
                  <c:v>0.19018418728613989</c:v>
                </c:pt>
                <c:pt idx="8">
                  <c:v>0.78639696826710959</c:v>
                </c:pt>
              </c:numCache>
            </c:numRef>
          </c:val>
          <c:extLst>
            <c:ext xmlns:c16="http://schemas.microsoft.com/office/drawing/2014/chart" uri="{C3380CC4-5D6E-409C-BE32-E72D297353CC}">
              <c16:uniqueId val="{00000001-86FD-4D94-9B70-57CF93D01D14}"/>
            </c:ext>
          </c:extLst>
        </c:ser>
        <c:ser>
          <c:idx val="5"/>
          <c:order val="5"/>
          <c:tx>
            <c:strRef>
              <c:f>MEM!$A$17</c:f>
              <c:strCache>
                <c:ptCount val="1"/>
                <c:pt idx="0">
                  <c:v>Residual</c:v>
                </c:pt>
              </c:strCache>
            </c:strRef>
          </c:tx>
          <c:spPr>
            <a:solidFill>
              <a:schemeClr val="accent6">
                <a:lumMod val="60000"/>
              </a:schemeClr>
            </a:solidFill>
            <a:ln>
              <a:noFill/>
            </a:ln>
            <a:effectLst/>
          </c:spPr>
          <c:invertIfNegative val="0"/>
          <c:cat>
            <c:numRef>
              <c:f>MEM!$B$2:$K$2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MEM!$B$17:$K$17</c:f>
              <c:numCache>
                <c:formatCode>0.0</c:formatCode>
                <c:ptCount val="9"/>
                <c:pt idx="0">
                  <c:v>3.211619846646105</c:v>
                </c:pt>
                <c:pt idx="1">
                  <c:v>6.1910088542845516</c:v>
                </c:pt>
                <c:pt idx="2">
                  <c:v>1.0765147181756678</c:v>
                </c:pt>
                <c:pt idx="3">
                  <c:v>-2.2645993372974154</c:v>
                </c:pt>
                <c:pt idx="4">
                  <c:v>1.7572108665635588</c:v>
                </c:pt>
                <c:pt idx="5">
                  <c:v>4.778185776185941</c:v>
                </c:pt>
                <c:pt idx="6">
                  <c:v>1.8082318763189964</c:v>
                </c:pt>
                <c:pt idx="7">
                  <c:v>1.4310547604668287</c:v>
                </c:pt>
                <c:pt idx="8">
                  <c:v>2.4121289907674264</c:v>
                </c:pt>
              </c:numCache>
            </c:numRef>
          </c:val>
          <c:extLst>
            <c:ext xmlns:c16="http://schemas.microsoft.com/office/drawing/2014/chart" uri="{C3380CC4-5D6E-409C-BE32-E72D297353CC}">
              <c16:uniqueId val="{00000002-86FD-4D94-9B70-57CF93D01D14}"/>
            </c:ext>
          </c:extLst>
        </c:ser>
        <c:ser>
          <c:idx val="6"/>
          <c:order val="6"/>
          <c:tx>
            <c:strRef>
              <c:f>MEM!$A$7</c:f>
              <c:strCache>
                <c:ptCount val="1"/>
                <c:pt idx="0">
                  <c:v>Other debt-creating flows</c:v>
                </c:pt>
              </c:strCache>
            </c:strRef>
          </c:tx>
          <c:spPr>
            <a:solidFill>
              <a:schemeClr val="accent2">
                <a:lumMod val="80000"/>
                <a:lumOff val="20000"/>
              </a:schemeClr>
            </a:solidFill>
            <a:ln>
              <a:noFill/>
            </a:ln>
            <a:effectLst/>
          </c:spPr>
          <c:invertIfNegative val="0"/>
          <c:cat>
            <c:numRef>
              <c:f>MEM!$B$2:$K$2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MEM!$B$7:$K$7</c:f>
              <c:numCache>
                <c:formatCode>0.0</c:formatCode>
                <c:ptCount val="9"/>
                <c:pt idx="0">
                  <c:v>0</c:v>
                </c:pt>
                <c:pt idx="1">
                  <c:v>0</c:v>
                </c:pt>
                <c:pt idx="2">
                  <c:v>0</c:v>
                </c:pt>
                <c:pt idx="3">
                  <c:v>0</c:v>
                </c:pt>
                <c:pt idx="4">
                  <c:v>-0.20397810724522861</c:v>
                </c:pt>
                <c:pt idx="5">
                  <c:v>0</c:v>
                </c:pt>
                <c:pt idx="6">
                  <c:v>0</c:v>
                </c:pt>
                <c:pt idx="7">
                  <c:v>0</c:v>
                </c:pt>
                <c:pt idx="8">
                  <c:v>0</c:v>
                </c:pt>
              </c:numCache>
            </c:numRef>
          </c:val>
          <c:extLst>
            <c:ext xmlns:c16="http://schemas.microsoft.com/office/drawing/2014/chart" uri="{C3380CC4-5D6E-409C-BE32-E72D297353CC}">
              <c16:uniqueId val="{00000003-86FD-4D94-9B70-57CF93D01D14}"/>
            </c:ext>
          </c:extLst>
        </c:ser>
        <c:ser>
          <c:idx val="13"/>
          <c:order val="13"/>
          <c:tx>
            <c:strRef>
              <c:f>MEM!$A$14</c:f>
              <c:strCache>
                <c:ptCount val="1"/>
                <c:pt idx="0">
                  <c:v>Real interest rate</c:v>
                </c:pt>
              </c:strCache>
            </c:strRef>
          </c:tx>
          <c:spPr>
            <a:solidFill>
              <a:schemeClr val="accent4">
                <a:lumMod val="60000"/>
                <a:lumOff val="40000"/>
              </a:schemeClr>
            </a:solidFill>
            <a:ln>
              <a:noFill/>
            </a:ln>
            <a:effectLst/>
          </c:spPr>
          <c:invertIfNegative val="0"/>
          <c:cat>
            <c:numRef>
              <c:f>MEM!$B$2:$K$2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MEM!$B$14:$K$14</c:f>
              <c:numCache>
                <c:formatCode>0.0</c:formatCode>
                <c:ptCount val="9"/>
                <c:pt idx="0">
                  <c:v>-1.9453355471364544</c:v>
                </c:pt>
                <c:pt idx="1">
                  <c:v>-3.3217931976882067</c:v>
                </c:pt>
                <c:pt idx="2">
                  <c:v>-2.715726204138754</c:v>
                </c:pt>
                <c:pt idx="3">
                  <c:v>-3.3929654630001251</c:v>
                </c:pt>
                <c:pt idx="4">
                  <c:v>-2.8709983028636641</c:v>
                </c:pt>
                <c:pt idx="5">
                  <c:v>-1.3687622850478822</c:v>
                </c:pt>
                <c:pt idx="6">
                  <c:v>0.6616366678180442</c:v>
                </c:pt>
                <c:pt idx="7">
                  <c:v>0.54323908262986398</c:v>
                </c:pt>
                <c:pt idx="8">
                  <c:v>1.709677072112963</c:v>
                </c:pt>
              </c:numCache>
            </c:numRef>
          </c:val>
          <c:extLst>
            <c:ext xmlns:c16="http://schemas.microsoft.com/office/drawing/2014/chart" uri="{C3380CC4-5D6E-409C-BE32-E72D297353CC}">
              <c16:uniqueId val="{00000004-86FD-4D94-9B70-57CF93D01D14}"/>
            </c:ext>
          </c:extLst>
        </c:ser>
        <c:ser>
          <c:idx val="14"/>
          <c:order val="14"/>
          <c:tx>
            <c:strRef>
              <c:f>MEM!$A$15</c:f>
              <c:strCache>
                <c:ptCount val="1"/>
                <c:pt idx="0">
                  <c:v>Real GDP growth</c:v>
                </c:pt>
              </c:strCache>
            </c:strRef>
          </c:tx>
          <c:spPr>
            <a:solidFill>
              <a:schemeClr val="accent6">
                <a:lumMod val="60000"/>
                <a:lumOff val="40000"/>
              </a:schemeClr>
            </a:solidFill>
            <a:ln>
              <a:noFill/>
            </a:ln>
            <a:effectLst/>
          </c:spPr>
          <c:invertIfNegative val="0"/>
          <c:cat>
            <c:numRef>
              <c:f>MEM!$B$2:$K$2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MEM!$B$15:$K$15</c:f>
              <c:numCache>
                <c:formatCode>0.0</c:formatCode>
                <c:ptCount val="9"/>
                <c:pt idx="0">
                  <c:v>-0.36987184029758735</c:v>
                </c:pt>
                <c:pt idx="1">
                  <c:v>-1.41399524292863</c:v>
                </c:pt>
                <c:pt idx="2">
                  <c:v>-1.9061361394746563</c:v>
                </c:pt>
                <c:pt idx="3">
                  <c:v>-0.96036068449807011</c:v>
                </c:pt>
                <c:pt idx="4">
                  <c:v>-0.78696716090175955</c:v>
                </c:pt>
                <c:pt idx="5">
                  <c:v>-1.4261648622396932</c:v>
                </c:pt>
                <c:pt idx="6">
                  <c:v>-1.7475252339103131</c:v>
                </c:pt>
                <c:pt idx="7">
                  <c:v>-2.2685980914740305</c:v>
                </c:pt>
                <c:pt idx="8">
                  <c:v>-0.40968486469322923</c:v>
                </c:pt>
              </c:numCache>
            </c:numRef>
          </c:val>
          <c:extLst>
            <c:ext xmlns:c16="http://schemas.microsoft.com/office/drawing/2014/chart" uri="{C3380CC4-5D6E-409C-BE32-E72D297353CC}">
              <c16:uniqueId val="{00000005-86FD-4D94-9B70-57CF93D01D14}"/>
            </c:ext>
          </c:extLst>
        </c:ser>
        <c:dLbls>
          <c:showLegendKey val="0"/>
          <c:showVal val="0"/>
          <c:showCatName val="0"/>
          <c:showSerName val="0"/>
          <c:showPercent val="0"/>
          <c:showBubbleSize val="0"/>
        </c:dLbls>
        <c:gapWidth val="75"/>
        <c:overlap val="100"/>
        <c:axId val="401701264"/>
        <c:axId val="401701656"/>
        <c:extLst>
          <c:ext xmlns:c15="http://schemas.microsoft.com/office/drawing/2012/chart" uri="{02D57815-91ED-43cb-92C2-25804820EDAC}">
            <c15:filteredBarSeries>
              <c15:ser>
                <c:idx val="1"/>
                <c:order val="1"/>
                <c:tx>
                  <c:strRef>
                    <c:extLst>
                      <c:ext uri="{02D57815-91ED-43cb-92C2-25804820EDAC}">
                        <c15:formulaRef>
                          <c15:sqref>MEM!$A$4</c15:sqref>
                        </c15:formulaRef>
                      </c:ext>
                    </c:extLst>
                    <c:strCache>
                      <c:ptCount val="1"/>
                      <c:pt idx="0">
                        <c:v>Identified debt-creating flows </c:v>
                      </c:pt>
                    </c:strCache>
                  </c:strRef>
                </c:tx>
                <c:spPr>
                  <a:solidFill>
                    <a:schemeClr val="accent4"/>
                  </a:solidFill>
                  <a:ln>
                    <a:noFill/>
                  </a:ln>
                  <a:effectLst/>
                </c:spPr>
                <c:invertIfNegative val="0"/>
                <c:cat>
                  <c:numRef>
                    <c:extLst>
                      <c:ex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c:ext uri="{02D57815-91ED-43cb-92C2-25804820EDAC}">
                        <c15:formulaRef>
                          <c15:sqref>MEM!$B$4:$K$4</c15:sqref>
                        </c15:formulaRef>
                      </c:ext>
                    </c:extLst>
                    <c:numCache>
                      <c:formatCode>0.0</c:formatCode>
                      <c:ptCount val="9"/>
                      <c:pt idx="0">
                        <c:v>5.4111903946532216</c:v>
                      </c:pt>
                      <c:pt idx="1">
                        <c:v>0.54990073515906257</c:v>
                      </c:pt>
                      <c:pt idx="2">
                        <c:v>-2.908675601705264</c:v>
                      </c:pt>
                      <c:pt idx="3">
                        <c:v>4.2047632071099379</c:v>
                      </c:pt>
                      <c:pt idx="4">
                        <c:v>-0.13204847715208015</c:v>
                      </c:pt>
                      <c:pt idx="5">
                        <c:v>-0.31932951271853049</c:v>
                      </c:pt>
                      <c:pt idx="6">
                        <c:v>0.56083721869046133</c:v>
                      </c:pt>
                      <c:pt idx="7">
                        <c:v>-3.7434372307288299E-2</c:v>
                      </c:pt>
                      <c:pt idx="8">
                        <c:v>7.0762373653345865</c:v>
                      </c:pt>
                    </c:numCache>
                  </c:numRef>
                </c:val>
                <c:extLst>
                  <c:ext xmlns:c16="http://schemas.microsoft.com/office/drawing/2014/chart" uri="{C3380CC4-5D6E-409C-BE32-E72D297353CC}">
                    <c16:uniqueId val="{00000007-86FD-4D94-9B70-57CF93D01D1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MEM!$A$6</c15:sqref>
                        </c15:formulaRef>
                      </c:ext>
                    </c:extLst>
                    <c:strCache>
                      <c:ptCount val="1"/>
                      <c:pt idx="0">
                        <c:v>Primary (noninterest) expenditure </c:v>
                      </c:pt>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5="http://schemas.microsoft.com/office/drawing/2012/chart">
                      <c:ext xmlns:c15="http://schemas.microsoft.com/office/drawing/2012/chart" uri="{02D57815-91ED-43cb-92C2-25804820EDAC}">
                        <c15:formulaRef>
                          <c15:sqref>MEM!$B$6:$K$6</c15:sqref>
                        </c15:formulaRef>
                      </c:ext>
                    </c:extLst>
                    <c:numCache>
                      <c:formatCode>0.0</c:formatCode>
                      <c:ptCount val="9"/>
                      <c:pt idx="0">
                        <c:v>17.750571554950305</c:v>
                      </c:pt>
                      <c:pt idx="1">
                        <c:v>18.161909727373747</c:v>
                      </c:pt>
                      <c:pt idx="2">
                        <c:v>15.201821838709098</c:v>
                      </c:pt>
                      <c:pt idx="3">
                        <c:v>17.225591901009089</c:v>
                      </c:pt>
                      <c:pt idx="4">
                        <c:v>16.688764998156195</c:v>
                      </c:pt>
                      <c:pt idx="5">
                        <c:v>18.227387211066102</c:v>
                      </c:pt>
                      <c:pt idx="6">
                        <c:v>16.635495119309255</c:v>
                      </c:pt>
                      <c:pt idx="7">
                        <c:v>16.262747154055578</c:v>
                      </c:pt>
                      <c:pt idx="8">
                        <c:v>19.536269329350564</c:v>
                      </c:pt>
                    </c:numCache>
                  </c:numRef>
                </c:val>
                <c:extLst xmlns:c15="http://schemas.microsoft.com/office/drawing/2012/chart">
                  <c:ext xmlns:c16="http://schemas.microsoft.com/office/drawing/2014/chart" uri="{C3380CC4-5D6E-409C-BE32-E72D297353CC}">
                    <c16:uniqueId val="{00000008-86FD-4D94-9B70-57CF93D01D1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MEM!$A$8</c15:sqref>
                        </c15:formulaRef>
                      </c:ext>
                    </c:extLst>
                    <c:strCache>
                      <c:ptCount val="1"/>
                      <c:pt idx="0">
                        <c:v>Privatization receipts (negative)</c:v>
                      </c:pt>
                    </c:strCache>
                  </c:strRef>
                </c:tx>
                <c:spPr>
                  <a:solidFill>
                    <a:schemeClr val="accent4">
                      <a:lumMod val="80000"/>
                      <a:lumOff val="20000"/>
                    </a:schemeClr>
                  </a:solidFill>
                  <a:ln>
                    <a:noFill/>
                  </a:ln>
                  <a:effectLst/>
                </c:spPr>
                <c:invertIfNegative val="0"/>
                <c:cat>
                  <c:numRef>
                    <c:extLst xmlns:c15="http://schemas.microsoft.com/office/drawing/2012/chart">
                      <c:ext xmlns:c15="http://schemas.microsoft.com/office/drawing/2012/char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5="http://schemas.microsoft.com/office/drawing/2012/chart">
                      <c:ext xmlns:c15="http://schemas.microsoft.com/office/drawing/2012/chart" uri="{02D57815-91ED-43cb-92C2-25804820EDAC}">
                        <c15:formulaRef>
                          <c15:sqref>MEM!$B$8:$K$8</c15:sqref>
                        </c15:formulaRef>
                      </c:ext>
                    </c:extLst>
                    <c:numCache>
                      <c:formatCode>0.0</c:formatCode>
                      <c:ptCount val="9"/>
                      <c:pt idx="0">
                        <c:v>0</c:v>
                      </c:pt>
                      <c:pt idx="1">
                        <c:v>0</c:v>
                      </c:pt>
                      <c:pt idx="2">
                        <c:v>0</c:v>
                      </c:pt>
                      <c:pt idx="3">
                        <c:v>0</c:v>
                      </c:pt>
                      <c:pt idx="4">
                        <c:v>-0.20397810724522861</c:v>
                      </c:pt>
                      <c:pt idx="5">
                        <c:v>0</c:v>
                      </c:pt>
                      <c:pt idx="6">
                        <c:v>0</c:v>
                      </c:pt>
                      <c:pt idx="7">
                        <c:v>0</c:v>
                      </c:pt>
                      <c:pt idx="8">
                        <c:v>0</c:v>
                      </c:pt>
                    </c:numCache>
                  </c:numRef>
                </c:val>
                <c:extLst xmlns:c15="http://schemas.microsoft.com/office/drawing/2012/chart">
                  <c:ext xmlns:c16="http://schemas.microsoft.com/office/drawing/2014/chart" uri="{C3380CC4-5D6E-409C-BE32-E72D297353CC}">
                    <c16:uniqueId val="{00000009-86FD-4D94-9B70-57CF93D01D14}"/>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MEM!$A$9</c15:sqref>
                        </c15:formulaRef>
                      </c:ext>
                    </c:extLst>
                    <c:strCache>
                      <c:ptCount val="1"/>
                      <c:pt idx="0">
                        <c:v>Recognition of implicit or contingent liabilities</c:v>
                      </c:pt>
                    </c:strCache>
                  </c:strRef>
                </c:tx>
                <c:spPr>
                  <a:solidFill>
                    <a:schemeClr val="accent6">
                      <a:lumMod val="80000"/>
                      <a:lumOff val="20000"/>
                    </a:schemeClr>
                  </a:solidFill>
                  <a:ln>
                    <a:noFill/>
                  </a:ln>
                  <a:effectLst/>
                </c:spPr>
                <c:invertIfNegative val="0"/>
                <c:cat>
                  <c:numRef>
                    <c:extLst xmlns:c15="http://schemas.microsoft.com/office/drawing/2012/chart">
                      <c:ext xmlns:c15="http://schemas.microsoft.com/office/drawing/2012/char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5="http://schemas.microsoft.com/office/drawing/2012/chart">
                      <c:ext xmlns:c15="http://schemas.microsoft.com/office/drawing/2012/chart" uri="{02D57815-91ED-43cb-92C2-25804820EDAC}">
                        <c15:formulaRef>
                          <c15:sqref>MEM!$B$9:$K$9</c15:sqref>
                        </c15:formulaRef>
                      </c:ext>
                    </c:extLst>
                    <c:numCache>
                      <c:formatCode>0.0</c:formatCode>
                      <c:ptCount val="9"/>
                      <c:pt idx="0">
                        <c:v>0</c:v>
                      </c:pt>
                      <c:pt idx="1">
                        <c:v>0</c:v>
                      </c:pt>
                      <c:pt idx="2">
                        <c:v>0</c:v>
                      </c:pt>
                      <c:pt idx="3">
                        <c:v>0</c:v>
                      </c:pt>
                      <c:pt idx="4">
                        <c:v>0</c:v>
                      </c:pt>
                      <c:pt idx="5">
                        <c:v>0</c:v>
                      </c:pt>
                      <c:pt idx="6">
                        <c:v>0</c:v>
                      </c:pt>
                      <c:pt idx="7">
                        <c:v>0</c:v>
                      </c:pt>
                      <c:pt idx="8">
                        <c:v>0</c:v>
                      </c:pt>
                    </c:numCache>
                  </c:numRef>
                </c:val>
                <c:extLst xmlns:c15="http://schemas.microsoft.com/office/drawing/2012/chart">
                  <c:ext xmlns:c16="http://schemas.microsoft.com/office/drawing/2014/chart" uri="{C3380CC4-5D6E-409C-BE32-E72D297353CC}">
                    <c16:uniqueId val="{0000000A-86FD-4D94-9B70-57CF93D01D1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MEM!$A$10</c15:sqref>
                        </c15:formulaRef>
                      </c:ext>
                    </c:extLst>
                    <c:strCache>
                      <c:ptCount val="1"/>
                      <c:pt idx="0">
                        <c:v>Debt relief (HIPC and other)</c:v>
                      </c:pt>
                    </c:strCache>
                  </c:strRef>
                </c:tx>
                <c:spPr>
                  <a:solidFill>
                    <a:schemeClr val="accent2">
                      <a:lumMod val="80000"/>
                    </a:schemeClr>
                  </a:solidFill>
                  <a:ln>
                    <a:noFill/>
                  </a:ln>
                  <a:effectLst/>
                </c:spPr>
                <c:invertIfNegative val="0"/>
                <c:cat>
                  <c:numRef>
                    <c:extLst xmlns:c15="http://schemas.microsoft.com/office/drawing/2012/chart">
                      <c:ext xmlns:c15="http://schemas.microsoft.com/office/drawing/2012/char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5="http://schemas.microsoft.com/office/drawing/2012/chart">
                      <c:ext xmlns:c15="http://schemas.microsoft.com/office/drawing/2012/chart" uri="{02D57815-91ED-43cb-92C2-25804820EDAC}">
                        <c15:formulaRef>
                          <c15:sqref>MEM!$B$10:$K$10</c15:sqref>
                        </c15:formulaRef>
                      </c:ext>
                    </c:extLst>
                    <c:numCache>
                      <c:formatCode>0.0</c:formatCode>
                      <c:ptCount val="9"/>
                      <c:pt idx="0">
                        <c:v>0</c:v>
                      </c:pt>
                      <c:pt idx="1">
                        <c:v>0</c:v>
                      </c:pt>
                      <c:pt idx="2">
                        <c:v>0</c:v>
                      </c:pt>
                      <c:pt idx="3">
                        <c:v>0</c:v>
                      </c:pt>
                      <c:pt idx="4">
                        <c:v>0</c:v>
                      </c:pt>
                      <c:pt idx="5">
                        <c:v>0</c:v>
                      </c:pt>
                      <c:pt idx="6">
                        <c:v>0</c:v>
                      </c:pt>
                      <c:pt idx="7">
                        <c:v>0</c:v>
                      </c:pt>
                      <c:pt idx="8">
                        <c:v>0</c:v>
                      </c:pt>
                    </c:numCache>
                  </c:numRef>
                </c:val>
                <c:extLst xmlns:c15="http://schemas.microsoft.com/office/drawing/2012/chart">
                  <c:ext xmlns:c16="http://schemas.microsoft.com/office/drawing/2014/chart" uri="{C3380CC4-5D6E-409C-BE32-E72D297353CC}">
                    <c16:uniqueId val="{0000000B-86FD-4D94-9B70-57CF93D01D14}"/>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MEM!$A$11</c15:sqref>
                        </c15:formulaRef>
                      </c:ext>
                    </c:extLst>
                    <c:strCache>
                      <c:ptCount val="1"/>
                      <c:pt idx="0">
                        <c:v>Other (specify, e.g. bank recapitalization)</c:v>
                      </c:pt>
                    </c:strCache>
                  </c:strRef>
                </c:tx>
                <c:spPr>
                  <a:solidFill>
                    <a:schemeClr val="accent4">
                      <a:lumMod val="80000"/>
                    </a:schemeClr>
                  </a:solidFill>
                  <a:ln>
                    <a:noFill/>
                  </a:ln>
                  <a:effectLst/>
                </c:spPr>
                <c:invertIfNegative val="0"/>
                <c:cat>
                  <c:numRef>
                    <c:extLst xmlns:c15="http://schemas.microsoft.com/office/drawing/2012/chart">
                      <c:ext xmlns:c15="http://schemas.microsoft.com/office/drawing/2012/char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5="http://schemas.microsoft.com/office/drawing/2012/chart">
                      <c:ext xmlns:c15="http://schemas.microsoft.com/office/drawing/2012/chart" uri="{02D57815-91ED-43cb-92C2-25804820EDAC}">
                        <c15:formulaRef>
                          <c15:sqref>MEM!$B$11:$K$11</c15:sqref>
                        </c15:formulaRef>
                      </c:ext>
                    </c:extLst>
                    <c:numCache>
                      <c:formatCode>0.0</c:formatCode>
                      <c:ptCount val="9"/>
                      <c:pt idx="0">
                        <c:v>0</c:v>
                      </c:pt>
                      <c:pt idx="1">
                        <c:v>0</c:v>
                      </c:pt>
                      <c:pt idx="2">
                        <c:v>0</c:v>
                      </c:pt>
                      <c:pt idx="3">
                        <c:v>0</c:v>
                      </c:pt>
                      <c:pt idx="4">
                        <c:v>0</c:v>
                      </c:pt>
                      <c:pt idx="5">
                        <c:v>0</c:v>
                      </c:pt>
                      <c:pt idx="6">
                        <c:v>0</c:v>
                      </c:pt>
                      <c:pt idx="7">
                        <c:v>0</c:v>
                      </c:pt>
                      <c:pt idx="8">
                        <c:v>0</c:v>
                      </c:pt>
                    </c:numCache>
                  </c:numRef>
                </c:val>
                <c:extLst xmlns:c15="http://schemas.microsoft.com/office/drawing/2012/chart">
                  <c:ext xmlns:c16="http://schemas.microsoft.com/office/drawing/2014/chart" uri="{C3380CC4-5D6E-409C-BE32-E72D297353CC}">
                    <c16:uniqueId val="{0000000C-86FD-4D94-9B70-57CF93D01D14}"/>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MEM!$A$12</c15:sqref>
                        </c15:formulaRef>
                      </c:ext>
                    </c:extLst>
                    <c:strCache>
                      <c:ptCount val="1"/>
                      <c:pt idx="0">
                        <c:v>Automatic debt dynamics</c:v>
                      </c:pt>
                    </c:strCache>
                  </c:strRef>
                </c:tx>
                <c:spPr>
                  <a:solidFill>
                    <a:schemeClr val="accent6">
                      <a:lumMod val="80000"/>
                    </a:schemeClr>
                  </a:solidFill>
                  <a:ln>
                    <a:noFill/>
                  </a:ln>
                  <a:effectLst/>
                </c:spPr>
                <c:invertIfNegative val="0"/>
                <c:cat>
                  <c:numRef>
                    <c:extLst xmlns:c15="http://schemas.microsoft.com/office/drawing/2012/chart">
                      <c:ext xmlns:c15="http://schemas.microsoft.com/office/drawing/2012/char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5="http://schemas.microsoft.com/office/drawing/2012/chart">
                      <c:ext xmlns:c15="http://schemas.microsoft.com/office/drawing/2012/chart" uri="{02D57815-91ED-43cb-92C2-25804820EDAC}">
                        <c15:formulaRef>
                          <c15:sqref>MEM!$B$12:$K$12</c15:sqref>
                        </c15:formulaRef>
                      </c:ext>
                    </c:extLst>
                    <c:numCache>
                      <c:formatCode>0.0</c:formatCode>
                      <c:ptCount val="9"/>
                      <c:pt idx="0">
                        <c:v>4.9741254695561636</c:v>
                      </c:pt>
                      <c:pt idx="1">
                        <c:v>-0.62770885851324199</c:v>
                      </c:pt>
                      <c:pt idx="2">
                        <c:v>-2.9186881217047453</c:v>
                      </c:pt>
                      <c:pt idx="3">
                        <c:v>2.3308461416952184</c:v>
                      </c:pt>
                      <c:pt idx="4">
                        <c:v>-1.7730702880755584</c:v>
                      </c:pt>
                      <c:pt idx="5">
                        <c:v>-2.7043909803685082</c:v>
                      </c:pt>
                      <c:pt idx="6">
                        <c:v>-1.0388870072865768</c:v>
                      </c:pt>
                      <c:pt idx="7">
                        <c:v>-1.5351748215580265</c:v>
                      </c:pt>
                      <c:pt idx="8">
                        <c:v>2.0863891756868433</c:v>
                      </c:pt>
                    </c:numCache>
                  </c:numRef>
                </c:val>
                <c:extLst xmlns:c15="http://schemas.microsoft.com/office/drawing/2012/chart">
                  <c:ext xmlns:c16="http://schemas.microsoft.com/office/drawing/2014/chart" uri="{C3380CC4-5D6E-409C-BE32-E72D297353CC}">
                    <c16:uniqueId val="{0000000D-86FD-4D94-9B70-57CF93D01D14}"/>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MEM!$A$13</c15:sqref>
                        </c15:formulaRef>
                      </c:ext>
                    </c:extLst>
                    <c:strCache>
                      <c:ptCount val="1"/>
                      <c:pt idx="0">
                        <c:v>Contribution from interest rate/growth differential</c:v>
                      </c:pt>
                    </c:strCache>
                  </c:strRef>
                </c:tx>
                <c:spPr>
                  <a:solidFill>
                    <a:schemeClr val="accent2">
                      <a:lumMod val="60000"/>
                      <a:lumOff val="40000"/>
                    </a:schemeClr>
                  </a:solidFill>
                  <a:ln>
                    <a:noFill/>
                  </a:ln>
                  <a:effectLst/>
                </c:spPr>
                <c:invertIfNegative val="0"/>
                <c:cat>
                  <c:numRef>
                    <c:extLst xmlns:c15="http://schemas.microsoft.com/office/drawing/2012/chart">
                      <c:ext xmlns:c15="http://schemas.microsoft.com/office/drawing/2012/chart" uri="{02D57815-91ED-43cb-92C2-25804820EDAC}">
                        <c15:formulaRef>
                          <c15:sqref>MEM!$B$2:$K$2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xmlns:c15="http://schemas.microsoft.com/office/drawing/2012/chart">
                      <c:ext xmlns:c15="http://schemas.microsoft.com/office/drawing/2012/chart" uri="{02D57815-91ED-43cb-92C2-25804820EDAC}">
                        <c15:formulaRef>
                          <c15:sqref>MEM!$B$13:$K$13</c15:sqref>
                        </c15:formulaRef>
                      </c:ext>
                    </c:extLst>
                    <c:numCache>
                      <c:formatCode>0.0</c:formatCode>
                      <c:ptCount val="9"/>
                      <c:pt idx="0">
                        <c:v>-2.3152073874340418</c:v>
                      </c:pt>
                      <c:pt idx="1">
                        <c:v>-4.7357884406168367</c:v>
                      </c:pt>
                      <c:pt idx="2">
                        <c:v>-4.6218623436134099</c:v>
                      </c:pt>
                      <c:pt idx="3">
                        <c:v>-4.353326147498195</c:v>
                      </c:pt>
                      <c:pt idx="4">
                        <c:v>-3.6579654637654238</c:v>
                      </c:pt>
                      <c:pt idx="5">
                        <c:v>-2.7949271472875754</c:v>
                      </c:pt>
                      <c:pt idx="6">
                        <c:v>-1.0858885660922688</c:v>
                      </c:pt>
                      <c:pt idx="7">
                        <c:v>-1.7253590088441664</c:v>
                      </c:pt>
                      <c:pt idx="8">
                        <c:v>1.2999922074197339</c:v>
                      </c:pt>
                    </c:numCache>
                  </c:numRef>
                </c:val>
                <c:extLst xmlns:c15="http://schemas.microsoft.com/office/drawing/2012/chart">
                  <c:ext xmlns:c16="http://schemas.microsoft.com/office/drawing/2014/chart" uri="{C3380CC4-5D6E-409C-BE32-E72D297353CC}">
                    <c16:uniqueId val="{0000000E-86FD-4D94-9B70-57CF93D01D14}"/>
                  </c:ext>
                </c:extLst>
              </c15:ser>
            </c15:filteredBarSeries>
          </c:ext>
        </c:extLst>
      </c:barChart>
      <c:lineChart>
        <c:grouping val="standard"/>
        <c:varyColors val="0"/>
        <c:ser>
          <c:idx val="0"/>
          <c:order val="0"/>
          <c:tx>
            <c:strRef>
              <c:f>MEM!$A$3</c:f>
              <c:strCache>
                <c:ptCount val="1"/>
                <c:pt idx="0">
                  <c:v>Change in public sector debt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MEM!$B$2:$K$2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MEM!$B$3:$K$3</c:f>
              <c:numCache>
                <c:formatCode>0.00</c:formatCode>
                <c:ptCount val="9"/>
                <c:pt idx="0">
                  <c:v>8.6228102412993266</c:v>
                </c:pt>
                <c:pt idx="1">
                  <c:v>6.7409095894436142</c:v>
                </c:pt>
                <c:pt idx="2">
                  <c:v>-1.8321608835295962</c:v>
                </c:pt>
                <c:pt idx="3">
                  <c:v>1.9401638698125225</c:v>
                </c:pt>
                <c:pt idx="4">
                  <c:v>1.6251623894114786</c:v>
                </c:pt>
                <c:pt idx="5">
                  <c:v>4.4588562634674105</c:v>
                </c:pt>
                <c:pt idx="6">
                  <c:v>2.3690690950094577</c:v>
                </c:pt>
                <c:pt idx="7">
                  <c:v>1.3936203881595404</c:v>
                </c:pt>
                <c:pt idx="8">
                  <c:v>9.4883663561020128</c:v>
                </c:pt>
              </c:numCache>
            </c:numRef>
          </c:val>
          <c:smooth val="0"/>
          <c:extLst>
            <c:ext xmlns:c16="http://schemas.microsoft.com/office/drawing/2014/chart" uri="{C3380CC4-5D6E-409C-BE32-E72D297353CC}">
              <c16:uniqueId val="{00000006-86FD-4D94-9B70-57CF93D01D14}"/>
            </c:ext>
          </c:extLst>
        </c:ser>
        <c:dLbls>
          <c:showLegendKey val="0"/>
          <c:showVal val="0"/>
          <c:showCatName val="0"/>
          <c:showSerName val="0"/>
          <c:showPercent val="0"/>
          <c:showBubbleSize val="0"/>
        </c:dLbls>
        <c:marker val="1"/>
        <c:smooth val="0"/>
        <c:axId val="401701264"/>
        <c:axId val="401701656"/>
      </c:lineChart>
      <c:catAx>
        <c:axId val="4017012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401701656"/>
        <c:crosses val="autoZero"/>
        <c:auto val="1"/>
        <c:lblAlgn val="ctr"/>
        <c:lblOffset val="100"/>
        <c:noMultiLvlLbl val="0"/>
      </c:catAx>
      <c:valAx>
        <c:axId val="401701656"/>
        <c:scaling>
          <c:orientation val="minMax"/>
        </c:scaling>
        <c:delete val="0"/>
        <c:axPos val="l"/>
        <c:numFmt formatCode="0.0"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701264"/>
        <c:crosses val="autoZero"/>
        <c:crossBetween val="between"/>
      </c:valAx>
      <c:spPr>
        <a:noFill/>
        <a:ln w="15875" cap="sq">
          <a:noFill/>
          <a:bevel/>
        </a:ln>
        <a:effectLst/>
      </c:spPr>
    </c:plotArea>
    <c:legend>
      <c:legendPos val="t"/>
      <c:layout>
        <c:manualLayout>
          <c:xMode val="edge"/>
          <c:yMode val="edge"/>
          <c:x val="0.23618243708900447"/>
          <c:y val="3.0612244897959183E-2"/>
          <c:w val="0.69603734443453824"/>
          <c:h val="0.250639562911778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50046598484202E-2"/>
          <c:y val="0.16603593781546536"/>
          <c:w val="0.87961554948897847"/>
          <c:h val="0.80579729456894811"/>
        </c:manualLayout>
      </c:layout>
      <c:barChart>
        <c:barDir val="col"/>
        <c:grouping val="stacked"/>
        <c:varyColors val="0"/>
        <c:ser>
          <c:idx val="9"/>
          <c:order val="9"/>
          <c:tx>
            <c:strRef>
              <c:f>Sheet1!$A$11</c:f>
              <c:strCache>
                <c:ptCount val="1"/>
                <c:pt idx="0">
                  <c:v>      Foreign</c:v>
                </c:pt>
              </c:strCache>
            </c:strRef>
          </c:tx>
          <c:spPr>
            <a:solidFill>
              <a:schemeClr val="accent2">
                <a:lumMod val="80000"/>
              </a:schemeClr>
            </a:solidFill>
            <a:ln>
              <a:noFill/>
            </a:ln>
            <a:effectLst/>
          </c:spPr>
          <c:invertIfNegative val="0"/>
          <c:cat>
            <c:strRef>
              <c:f>Sheet1!$B$1:$R$1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extLst/>
            </c:strRef>
          </c:cat>
          <c:val>
            <c:numRef>
              <c:f>Sheet1!$B$11:$R$11</c:f>
              <c:numCache>
                <c:formatCode>_(* #,##0.00_);_(* \(#,##0.00\);_(* "-"??_);_(@_)</c:formatCode>
                <c:ptCount val="10"/>
                <c:pt idx="0">
                  <c:v>0.59835986020352394</c:v>
                </c:pt>
                <c:pt idx="1">
                  <c:v>6.435450853533986E-2</c:v>
                </c:pt>
                <c:pt idx="2">
                  <c:v>-0.19311527224911418</c:v>
                </c:pt>
                <c:pt idx="3">
                  <c:v>0.51274042247617901</c:v>
                </c:pt>
                <c:pt idx="4">
                  <c:v>0.35736546603681196</c:v>
                </c:pt>
                <c:pt idx="5">
                  <c:v>-0.31695192358207502</c:v>
                </c:pt>
                <c:pt idx="6">
                  <c:v>9.580647523979624E-2</c:v>
                </c:pt>
                <c:pt idx="7">
                  <c:v>3.6430530309321529E-2</c:v>
                </c:pt>
                <c:pt idx="8">
                  <c:v>-0.16669814497633917</c:v>
                </c:pt>
                <c:pt idx="9">
                  <c:v>4.9046862977855987E-2</c:v>
                </c:pt>
              </c:numCache>
              <c:extLst/>
            </c:numRef>
          </c:val>
          <c:extLst>
            <c:ext xmlns:c16="http://schemas.microsoft.com/office/drawing/2014/chart" uri="{C3380CC4-5D6E-409C-BE32-E72D297353CC}">
              <c16:uniqueId val="{00000000-4090-4447-8BB3-B039C27CBC9A}"/>
            </c:ext>
          </c:extLst>
        </c:ser>
        <c:ser>
          <c:idx val="10"/>
          <c:order val="10"/>
          <c:tx>
            <c:strRef>
              <c:f>Sheet1!$A$12</c:f>
              <c:strCache>
                <c:ptCount val="1"/>
                <c:pt idx="0">
                  <c:v>     Domestic</c:v>
                </c:pt>
              </c:strCache>
            </c:strRef>
          </c:tx>
          <c:spPr>
            <a:solidFill>
              <a:schemeClr val="accent4">
                <a:lumMod val="80000"/>
              </a:schemeClr>
            </a:solidFill>
            <a:ln>
              <a:noFill/>
            </a:ln>
            <a:effectLst/>
          </c:spPr>
          <c:invertIfNegative val="0"/>
          <c:cat>
            <c:strRef>
              <c:f>Sheet1!$B$1:$R$1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extLst/>
            </c:strRef>
          </c:cat>
          <c:val>
            <c:numRef>
              <c:f>Sheet1!$B$12:$R$12</c:f>
              <c:numCache>
                <c:formatCode>_(* #,##0.00_);_(* \(#,##0.00\);_(* "-"??_);_(@_)</c:formatCode>
                <c:ptCount val="10"/>
                <c:pt idx="0">
                  <c:v>0.49039777101779247</c:v>
                </c:pt>
                <c:pt idx="1">
                  <c:v>-2.1910239132830851</c:v>
                </c:pt>
                <c:pt idx="2">
                  <c:v>11.885421433987805</c:v>
                </c:pt>
                <c:pt idx="3">
                  <c:v>-0.39875645175354535</c:v>
                </c:pt>
                <c:pt idx="4">
                  <c:v>-1.8509931055538509</c:v>
                </c:pt>
                <c:pt idx="5">
                  <c:v>1.495795948489377</c:v>
                </c:pt>
                <c:pt idx="6">
                  <c:v>0.25274413593072609</c:v>
                </c:pt>
                <c:pt idx="7">
                  <c:v>0.87549766193374978</c:v>
                </c:pt>
                <c:pt idx="8">
                  <c:v>1.0592968327269752</c:v>
                </c:pt>
                <c:pt idx="9">
                  <c:v>4.0235962810149211</c:v>
                </c:pt>
              </c:numCache>
              <c:extLst/>
            </c:numRef>
          </c:val>
          <c:extLst>
            <c:ext xmlns:c16="http://schemas.microsoft.com/office/drawing/2014/chart" uri="{C3380CC4-5D6E-409C-BE32-E72D297353CC}">
              <c16:uniqueId val="{00000001-4090-4447-8BB3-B039C27CBC9A}"/>
            </c:ext>
          </c:extLst>
        </c:ser>
        <c:dLbls>
          <c:showLegendKey val="0"/>
          <c:showVal val="0"/>
          <c:showCatName val="0"/>
          <c:showSerName val="0"/>
          <c:showPercent val="0"/>
          <c:showBubbleSize val="0"/>
        </c:dLbls>
        <c:gapWidth val="66"/>
        <c:overlap val="100"/>
        <c:axId val="787918447"/>
        <c:axId val="787920943"/>
        <c:extLst>
          <c:ext xmlns:c15="http://schemas.microsoft.com/office/drawing/2012/chart" uri="{02D57815-91ED-43cb-92C2-25804820EDAC}">
            <c15:filteredBarSeries>
              <c15:ser>
                <c:idx val="0"/>
                <c:order val="0"/>
                <c:tx>
                  <c:strRef>
                    <c:extLst>
                      <c:ext uri="{02D57815-91ED-43cb-92C2-25804820EDAC}">
                        <c15:formulaRef>
                          <c15:sqref>Sheet1!$A$2</c15:sqref>
                        </c15:formulaRef>
                      </c:ext>
                    </c:extLst>
                    <c:strCache>
                      <c:ptCount val="1"/>
                      <c:pt idx="0">
                        <c:v>Revenue</c:v>
                      </c:pt>
                    </c:strCache>
                  </c:strRef>
                </c:tx>
                <c:spPr>
                  <a:solidFill>
                    <a:schemeClr val="accent2"/>
                  </a:solidFill>
                  <a:ln>
                    <a:noFill/>
                  </a:ln>
                  <a:effectLst/>
                </c:spPr>
                <c:invertIfNegative val="0"/>
                <c:cat>
                  <c:strRef>
                    <c:extLst>
                      <c:ex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c:ext uri="{02D57815-91ED-43cb-92C2-25804820EDAC}">
                        <c15:formulaRef>
                          <c15:sqref>Sheet1!$B$2:$R$2</c15:sqref>
                        </c15:formulaRef>
                      </c:ext>
                    </c:extLst>
                    <c:numCache>
                      <c:formatCode>_(* #,##0.00_);_(* \(#,##0.00\);_(* "-"??_);_(@_)</c:formatCode>
                      <c:ptCount val="10"/>
                      <c:pt idx="0">
                        <c:v>258832.24194533002</c:v>
                      </c:pt>
                      <c:pt idx="1">
                        <c:v>473391.32065286394</c:v>
                      </c:pt>
                      <c:pt idx="2">
                        <c:v>522418.9342574086</c:v>
                      </c:pt>
                      <c:pt idx="3">
                        <c:v>609438.04838617088</c:v>
                      </c:pt>
                      <c:pt idx="4">
                        <c:v>763358.9113570709</c:v>
                      </c:pt>
                      <c:pt idx="5">
                        <c:v>998258.33244482498</c:v>
                      </c:pt>
                      <c:pt idx="6">
                        <c:v>1007256.9303778308</c:v>
                      </c:pt>
                      <c:pt idx="7">
                        <c:v>1132529.5867970344</c:v>
                      </c:pt>
                      <c:pt idx="8">
                        <c:v>1264262.7249026652</c:v>
                      </c:pt>
                      <c:pt idx="9">
                        <c:v>1406027.351855184</c:v>
                      </c:pt>
                    </c:numCache>
                  </c:numRef>
                </c:val>
                <c:extLst>
                  <c:ext xmlns:c16="http://schemas.microsoft.com/office/drawing/2014/chart" uri="{C3380CC4-5D6E-409C-BE32-E72D297353CC}">
                    <c16:uniqueId val="{00000003-4090-4447-8BB3-B039C27CBC9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Interest</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Sheet1!$B$3:$R$3</c15:sqref>
                        </c15:formulaRef>
                      </c:ext>
                    </c:extLst>
                    <c:numCache>
                      <c:formatCode>General</c:formatCode>
                      <c:ptCount val="10"/>
                      <c:pt idx="0">
                        <c:v>23764.951999999997</c:v>
                      </c:pt>
                      <c:pt idx="1">
                        <c:v>33397.449003186302</c:v>
                      </c:pt>
                      <c:pt idx="2">
                        <c:v>97939.136415414992</c:v>
                      </c:pt>
                      <c:pt idx="3">
                        <c:v>114947.48110728999</c:v>
                      </c:pt>
                      <c:pt idx="4">
                        <c:v>132577.1015957059</c:v>
                      </c:pt>
                      <c:pt idx="5">
                        <c:v>185141.39579005074</c:v>
                      </c:pt>
                      <c:pt idx="6">
                        <c:v>190321.11566167738</c:v>
                      </c:pt>
                      <c:pt idx="7">
                        <c:v>224319.2305641612</c:v>
                      </c:pt>
                      <c:pt idx="8">
                        <c:v>261696.30048924667</c:v>
                      </c:pt>
                      <c:pt idx="9">
                        <c:v>348303.37265249749</c:v>
                      </c:pt>
                    </c:numCache>
                  </c:numRef>
                </c:val>
                <c:extLst xmlns:c15="http://schemas.microsoft.com/office/drawing/2012/chart">
                  <c:ext xmlns:c16="http://schemas.microsoft.com/office/drawing/2014/chart" uri="{C3380CC4-5D6E-409C-BE32-E72D297353CC}">
                    <c16:uniqueId val="{00000004-4090-4447-8BB3-B039C27CBC9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    o/w External</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Sheet1!$B$4:$R$4</c15:sqref>
                        </c15:formulaRef>
                      </c:ext>
                    </c:extLst>
                    <c:numCache>
                      <c:formatCode>General</c:formatCode>
                      <c:ptCount val="10"/>
                      <c:pt idx="0">
                        <c:v>2126.7299999999996</c:v>
                      </c:pt>
                      <c:pt idx="1">
                        <c:v>4194.3322452063057</c:v>
                      </c:pt>
                      <c:pt idx="2">
                        <c:v>3619.8549726831488</c:v>
                      </c:pt>
                      <c:pt idx="3">
                        <c:v>7347.6480000000001</c:v>
                      </c:pt>
                      <c:pt idx="4">
                        <c:v>11931.365450754038</c:v>
                      </c:pt>
                      <c:pt idx="5">
                        <c:v>12438.864622050736</c:v>
                      </c:pt>
                      <c:pt idx="6">
                        <c:v>13516.009614187367</c:v>
                      </c:pt>
                      <c:pt idx="7">
                        <c:v>15609.583767011201</c:v>
                      </c:pt>
                      <c:pt idx="8">
                        <c:v>15317.750779536662</c:v>
                      </c:pt>
                      <c:pt idx="9">
                        <c:v>17724.976984647532</c:v>
                      </c:pt>
                    </c:numCache>
                  </c:numRef>
                </c:val>
                <c:extLst xmlns:c15="http://schemas.microsoft.com/office/drawing/2012/chart">
                  <c:ext xmlns:c16="http://schemas.microsoft.com/office/drawing/2014/chart" uri="{C3380CC4-5D6E-409C-BE32-E72D297353CC}">
                    <c16:uniqueId val="{00000005-4090-4447-8BB3-B039C27CBC9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    o/w  Domestic </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Sheet1!$B$5:$R$5</c15:sqref>
                        </c15:formulaRef>
                      </c:ext>
                    </c:extLst>
                    <c:numCache>
                      <c:formatCode>General</c:formatCode>
                      <c:ptCount val="10"/>
                      <c:pt idx="0">
                        <c:v>21638.221999999998</c:v>
                      </c:pt>
                      <c:pt idx="1">
                        <c:v>29203.116757979999</c:v>
                      </c:pt>
                      <c:pt idx="2">
                        <c:v>94319.281442731837</c:v>
                      </c:pt>
                      <c:pt idx="3">
                        <c:v>107599.83310728999</c:v>
                      </c:pt>
                      <c:pt idx="4">
                        <c:v>120645.73614495185</c:v>
                      </c:pt>
                      <c:pt idx="5">
                        <c:v>172702.53116800002</c:v>
                      </c:pt>
                      <c:pt idx="6">
                        <c:v>176805.10604749</c:v>
                      </c:pt>
                      <c:pt idx="7">
                        <c:v>208709.64679715</c:v>
                      </c:pt>
                      <c:pt idx="8">
                        <c:v>246378.54970971</c:v>
                      </c:pt>
                      <c:pt idx="9">
                        <c:v>330578.39566784998</c:v>
                      </c:pt>
                    </c:numCache>
                  </c:numRef>
                </c:val>
                <c:extLst xmlns:c15="http://schemas.microsoft.com/office/drawing/2012/chart">
                  <c:ext xmlns:c16="http://schemas.microsoft.com/office/drawing/2014/chart" uri="{C3380CC4-5D6E-409C-BE32-E72D297353CC}">
                    <c16:uniqueId val="{00000006-4090-4447-8BB3-B039C27CBC9A}"/>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        Foreign Interest</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Sheet1!$B$6:$R$6</c15:sqref>
                        </c15:formulaRef>
                      </c:ext>
                    </c:extLst>
                    <c:numCache>
                      <c:formatCode>_(* #,##0.00_);_(* \(#,##0.00\);_(* "-"??_);_(@_)</c:formatCode>
                      <c:ptCount val="10"/>
                      <c:pt idx="0">
                        <c:v>0.82166347747712298</c:v>
                      </c:pt>
                      <c:pt idx="1">
                        <c:v>0.88601798601246284</c:v>
                      </c:pt>
                      <c:pt idx="2">
                        <c:v>0.69290271376334867</c:v>
                      </c:pt>
                      <c:pt idx="3">
                        <c:v>1.2056431362395277</c:v>
                      </c:pt>
                      <c:pt idx="4">
                        <c:v>1.5630086022763396</c:v>
                      </c:pt>
                      <c:pt idx="5">
                        <c:v>1.2460566786942646</c:v>
                      </c:pt>
                      <c:pt idx="6">
                        <c:v>1.3418631539340609</c:v>
                      </c:pt>
                      <c:pt idx="7">
                        <c:v>1.3782936842433824</c:v>
                      </c:pt>
                      <c:pt idx="8">
                        <c:v>1.2115955392670432</c:v>
                      </c:pt>
                      <c:pt idx="9">
                        <c:v>1.2606424022448992</c:v>
                      </c:pt>
                    </c:numCache>
                  </c:numRef>
                </c:val>
                <c:extLst xmlns:c15="http://schemas.microsoft.com/office/drawing/2012/chart">
                  <c:ext xmlns:c16="http://schemas.microsoft.com/office/drawing/2014/chart" uri="{C3380CC4-5D6E-409C-BE32-E72D297353CC}">
                    <c16:uniqueId val="{00000007-4090-4447-8BB3-B039C27CBC9A}"/>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Sheet1!$A$7</c15:sqref>
                        </c15:formulaRef>
                      </c:ext>
                    </c:extLst>
                    <c:strCache>
                      <c:ptCount val="1"/>
                      <c:pt idx="0">
                        <c:v>        Domestic Interest </c:v>
                      </c:pt>
                    </c:strCache>
                  </c:strRef>
                </c:tx>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Sheet1!$B$7:$R$7</c15:sqref>
                        </c15:formulaRef>
                      </c:ext>
                    </c:extLst>
                    <c:numCache>
                      <c:formatCode>_(* #,##0.00_);_(* \(#,##0.00\);_(* "-"??_);_(@_)</c:formatCode>
                      <c:ptCount val="10"/>
                      <c:pt idx="0">
                        <c:v>8.3599407235248453</c:v>
                      </c:pt>
                      <c:pt idx="1">
                        <c:v>6.1689168102417602</c:v>
                      </c:pt>
                      <c:pt idx="2">
                        <c:v>18.054338244229566</c:v>
                      </c:pt>
                      <c:pt idx="3">
                        <c:v>17.655581792476021</c:v>
                      </c:pt>
                      <c:pt idx="4">
                        <c:v>15.80458868692217</c:v>
                      </c:pt>
                      <c:pt idx="5">
                        <c:v>17.300384635411547</c:v>
                      </c:pt>
                      <c:pt idx="6">
                        <c:v>17.553128771342273</c:v>
                      </c:pt>
                      <c:pt idx="7">
                        <c:v>18.428626433276023</c:v>
                      </c:pt>
                      <c:pt idx="8">
                        <c:v>19.487923266002998</c:v>
                      </c:pt>
                      <c:pt idx="9">
                        <c:v>23.511519547017919</c:v>
                      </c:pt>
                    </c:numCache>
                  </c:numRef>
                </c:val>
                <c:extLst xmlns:c15="http://schemas.microsoft.com/office/drawing/2012/chart">
                  <c:ext xmlns:c16="http://schemas.microsoft.com/office/drawing/2014/chart" uri="{C3380CC4-5D6E-409C-BE32-E72D297353CC}">
                    <c16:uniqueId val="{00000008-4090-4447-8BB3-B039C27CBC9A}"/>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Sheet1!$A$8</c15:sqref>
                        </c15:formulaRef>
                      </c:ext>
                    </c:extLst>
                    <c:strCache>
                      <c:ptCount val="1"/>
                      <c:pt idx="0">
                        <c:v>Interest as percent of revenue</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Sheet1!$B$8:$R$8</c15:sqref>
                        </c15:formulaRef>
                      </c:ext>
                    </c:extLst>
                    <c:numCache>
                      <c:formatCode>_(* #,##0.00_);_(* \(#,##0.00\);_(* "-"??_);_(@_)</c:formatCode>
                      <c:ptCount val="10"/>
                      <c:pt idx="0">
                        <c:v>9.1816042010019672</c:v>
                      </c:pt>
                      <c:pt idx="1">
                        <c:v>7.0549347962542228</c:v>
                      </c:pt>
                      <c:pt idx="2">
                        <c:v>18.747240957992915</c:v>
                      </c:pt>
                      <c:pt idx="3">
                        <c:v>18.861224928715547</c:v>
                      </c:pt>
                      <c:pt idx="4">
                        <c:v>17.36759728919851</c:v>
                      </c:pt>
                      <c:pt idx="5">
                        <c:v>18.54644131410581</c:v>
                      </c:pt>
                      <c:pt idx="6">
                        <c:v>18.894991925276333</c:v>
                      </c:pt>
                      <c:pt idx="7">
                        <c:v>19.806920117519404</c:v>
                      </c:pt>
                      <c:pt idx="8">
                        <c:v>20.699518805270042</c:v>
                      </c:pt>
                      <c:pt idx="9">
                        <c:v>24.772161949262816</c:v>
                      </c:pt>
                    </c:numCache>
                  </c:numRef>
                </c:val>
                <c:extLst xmlns:c15="http://schemas.microsoft.com/office/drawing/2012/chart">
                  <c:ext xmlns:c16="http://schemas.microsoft.com/office/drawing/2014/chart" uri="{C3380CC4-5D6E-409C-BE32-E72D297353CC}">
                    <c16:uniqueId val="{00000009-4090-4447-8BB3-B039C27CBC9A}"/>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Sheet1!$A$9</c15:sqref>
                        </c15:formulaRef>
                      </c:ext>
                    </c:extLst>
                    <c:strCache>
                      <c:ptCount val="1"/>
                    </c:strCache>
                  </c:strRef>
                </c:tx>
                <c:spPr>
                  <a:solidFill>
                    <a:schemeClr val="accent4">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Sheet1!$B$1:$R$1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Sheet1!$B$9:$R$9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A-4090-4447-8BB3-B039C27CBC9A}"/>
                  </c:ext>
                </c:extLst>
              </c15:ser>
            </c15:filteredBarSeries>
          </c:ext>
        </c:extLst>
      </c:barChart>
      <c:lineChart>
        <c:grouping val="standard"/>
        <c:varyColors val="0"/>
        <c:ser>
          <c:idx val="8"/>
          <c:order val="8"/>
          <c:tx>
            <c:strRef>
              <c:f>Sheet1!$A$10</c:f>
              <c:strCache>
                <c:ptCount val="1"/>
                <c:pt idx="0">
                  <c:v> Change in interest</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Sheet1!$B$1:$R$1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extLst/>
            </c:strRef>
          </c:cat>
          <c:val>
            <c:numRef>
              <c:f>Sheet1!$B$10:$R$10</c:f>
              <c:numCache>
                <c:formatCode>_(* #,##0.00_);_(* \(#,##0.00\);_(* "-"??_);_(@_)</c:formatCode>
                <c:ptCount val="10"/>
                <c:pt idx="0">
                  <c:v>1.0887576312213163</c:v>
                </c:pt>
                <c:pt idx="1">
                  <c:v>-2.1266694047477444</c:v>
                </c:pt>
                <c:pt idx="2">
                  <c:v>11.692306161738692</c:v>
                </c:pt>
                <c:pt idx="3">
                  <c:v>0.11398397072263222</c:v>
                </c:pt>
                <c:pt idx="4">
                  <c:v>-1.4936276395170367</c:v>
                </c:pt>
                <c:pt idx="5">
                  <c:v>1.1788440249072991</c:v>
                </c:pt>
                <c:pt idx="6">
                  <c:v>0.34855061117052344</c:v>
                </c:pt>
                <c:pt idx="7">
                  <c:v>0.91192819224307087</c:v>
                </c:pt>
                <c:pt idx="8">
                  <c:v>0.89259868775063822</c:v>
                </c:pt>
                <c:pt idx="9">
                  <c:v>4.0726431439927744</c:v>
                </c:pt>
              </c:numCache>
              <c:extLst/>
            </c:numRef>
          </c:val>
          <c:smooth val="0"/>
          <c:extLst>
            <c:ext xmlns:c16="http://schemas.microsoft.com/office/drawing/2014/chart" uri="{C3380CC4-5D6E-409C-BE32-E72D297353CC}">
              <c16:uniqueId val="{00000002-4090-4447-8BB3-B039C27CBC9A}"/>
            </c:ext>
          </c:extLst>
        </c:ser>
        <c:dLbls>
          <c:showLegendKey val="0"/>
          <c:showVal val="0"/>
          <c:showCatName val="0"/>
          <c:showSerName val="0"/>
          <c:showPercent val="0"/>
          <c:showBubbleSize val="0"/>
        </c:dLbls>
        <c:marker val="1"/>
        <c:smooth val="0"/>
        <c:axId val="787918447"/>
        <c:axId val="787920943"/>
      </c:lineChart>
      <c:dateAx>
        <c:axId val="78791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0"/>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787920943"/>
        <c:crosses val="autoZero"/>
        <c:auto val="0"/>
        <c:lblOffset val="100"/>
        <c:baseTimeUnit val="days"/>
      </c:dateAx>
      <c:valAx>
        <c:axId val="787920943"/>
        <c:scaling>
          <c:orientation val="minMax"/>
          <c:max val="12.5"/>
          <c:min val="-2.5"/>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918447"/>
        <c:crosses val="autoZero"/>
        <c:crossBetween val="between"/>
      </c:valAx>
      <c:spPr>
        <a:noFill/>
        <a:ln>
          <a:noFill/>
        </a:ln>
        <a:effectLst/>
      </c:spPr>
    </c:plotArea>
    <c:legend>
      <c:legendPos val="t"/>
      <c:layout>
        <c:manualLayout>
          <c:xMode val="edge"/>
          <c:yMode val="edge"/>
          <c:x val="0.29294549278981741"/>
          <c:y val="2.7624309392265192E-2"/>
          <c:w val="0.50447709905779081"/>
          <c:h val="7.76939139513638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29658792650918"/>
          <c:y val="0.19407114357053121"/>
          <c:w val="0.7850807371904599"/>
          <c:h val="0.7016706626939464"/>
        </c:manualLayout>
      </c:layout>
      <c:barChart>
        <c:barDir val="col"/>
        <c:grouping val="clustered"/>
        <c:varyColors val="0"/>
        <c:ser>
          <c:idx val="2"/>
          <c:order val="2"/>
          <c:tx>
            <c:strRef>
              <c:f>'Yield Curve'!$R$2</c:f>
              <c:strCache>
                <c:ptCount val="1"/>
                <c:pt idx="0">
                  <c:v>BPS change</c:v>
                </c:pt>
              </c:strCache>
            </c:strRef>
          </c:tx>
          <c:spPr>
            <a:solidFill>
              <a:schemeClr val="accent6"/>
            </a:solidFill>
            <a:ln>
              <a:noFill/>
            </a:ln>
            <a:effectLst/>
          </c:spPr>
          <c:invertIfNegative val="0"/>
          <c:cat>
            <c:strRef>
              <c:f>'Yield Curve'!$O$3:$O$10</c:f>
              <c:strCache>
                <c:ptCount val="8"/>
                <c:pt idx="0">
                  <c:v>91 day</c:v>
                </c:pt>
                <c:pt idx="1">
                  <c:v>182 day</c:v>
                </c:pt>
                <c:pt idx="2">
                  <c:v>364 day </c:v>
                </c:pt>
                <c:pt idx="3">
                  <c:v> 2 year </c:v>
                </c:pt>
                <c:pt idx="4">
                  <c:v>3 year </c:v>
                </c:pt>
                <c:pt idx="5">
                  <c:v>5 year </c:v>
                </c:pt>
                <c:pt idx="6">
                  <c:v>7 year </c:v>
                </c:pt>
                <c:pt idx="7">
                  <c:v>10 year</c:v>
                </c:pt>
              </c:strCache>
            </c:strRef>
          </c:cat>
          <c:val>
            <c:numRef>
              <c:f>'Yield Curve'!$R$3:$R$10</c:f>
              <c:numCache>
                <c:formatCode>0</c:formatCode>
                <c:ptCount val="8"/>
                <c:pt idx="0">
                  <c:v>244.99999999999994</c:v>
                </c:pt>
                <c:pt idx="1">
                  <c:v>190.00000000000003</c:v>
                </c:pt>
                <c:pt idx="2">
                  <c:v>31.00000000000005</c:v>
                </c:pt>
                <c:pt idx="3">
                  <c:v>176.00000000000017</c:v>
                </c:pt>
                <c:pt idx="4">
                  <c:v>205.00000000000006</c:v>
                </c:pt>
                <c:pt idx="5">
                  <c:v>182.00000000000003</c:v>
                </c:pt>
                <c:pt idx="6">
                  <c:v>58.999999999999986</c:v>
                </c:pt>
                <c:pt idx="7">
                  <c:v>80.000000000000071</c:v>
                </c:pt>
              </c:numCache>
            </c:numRef>
          </c:val>
          <c:extLst>
            <c:ext xmlns:c16="http://schemas.microsoft.com/office/drawing/2014/chart" uri="{C3380CC4-5D6E-409C-BE32-E72D297353CC}">
              <c16:uniqueId val="{00000000-1594-4970-A4BA-CBC337DEB626}"/>
            </c:ext>
          </c:extLst>
        </c:ser>
        <c:dLbls>
          <c:showLegendKey val="0"/>
          <c:showVal val="0"/>
          <c:showCatName val="0"/>
          <c:showSerName val="0"/>
          <c:showPercent val="0"/>
          <c:showBubbleSize val="0"/>
        </c:dLbls>
        <c:gapWidth val="97"/>
        <c:axId val="356376264"/>
        <c:axId val="356375872"/>
      </c:barChart>
      <c:lineChart>
        <c:grouping val="standard"/>
        <c:varyColors val="0"/>
        <c:ser>
          <c:idx val="0"/>
          <c:order val="0"/>
          <c:tx>
            <c:strRef>
              <c:f>'Yield Curve'!$P$2</c:f>
              <c:strCache>
                <c:ptCount val="1"/>
                <c:pt idx="0">
                  <c:v>Jun-21</c:v>
                </c:pt>
              </c:strCache>
            </c:strRef>
          </c:tx>
          <c:spPr>
            <a:ln w="28575" cap="rnd">
              <a:solidFill>
                <a:schemeClr val="accent2"/>
              </a:solidFill>
              <a:round/>
            </a:ln>
            <a:effectLst/>
          </c:spPr>
          <c:marker>
            <c:symbol val="none"/>
          </c:marker>
          <c:cat>
            <c:strRef>
              <c:f>'Yield Curve'!$O$3:$O$10</c:f>
              <c:strCache>
                <c:ptCount val="8"/>
                <c:pt idx="0">
                  <c:v>91 day</c:v>
                </c:pt>
                <c:pt idx="1">
                  <c:v>182 day</c:v>
                </c:pt>
                <c:pt idx="2">
                  <c:v>364 day </c:v>
                </c:pt>
                <c:pt idx="3">
                  <c:v> 2 year </c:v>
                </c:pt>
                <c:pt idx="4">
                  <c:v>3 year </c:v>
                </c:pt>
                <c:pt idx="5">
                  <c:v>5 year </c:v>
                </c:pt>
                <c:pt idx="6">
                  <c:v>7 year </c:v>
                </c:pt>
                <c:pt idx="7">
                  <c:v>10 year</c:v>
                </c:pt>
              </c:strCache>
            </c:strRef>
          </c:cat>
          <c:val>
            <c:numRef>
              <c:f>'Yield Curve'!$P$3:$P$10</c:f>
              <c:numCache>
                <c:formatCode>General</c:formatCode>
                <c:ptCount val="8"/>
                <c:pt idx="0">
                  <c:v>10.02</c:v>
                </c:pt>
                <c:pt idx="1">
                  <c:v>12.8</c:v>
                </c:pt>
                <c:pt idx="2">
                  <c:v>13.4</c:v>
                </c:pt>
                <c:pt idx="3">
                  <c:v>16.510000000000002</c:v>
                </c:pt>
                <c:pt idx="4">
                  <c:v>18.8</c:v>
                </c:pt>
                <c:pt idx="5">
                  <c:v>19.98</c:v>
                </c:pt>
                <c:pt idx="6">
                  <c:v>20.5</c:v>
                </c:pt>
                <c:pt idx="7">
                  <c:v>22.5</c:v>
                </c:pt>
              </c:numCache>
            </c:numRef>
          </c:val>
          <c:smooth val="0"/>
          <c:extLst>
            <c:ext xmlns:c16="http://schemas.microsoft.com/office/drawing/2014/chart" uri="{C3380CC4-5D6E-409C-BE32-E72D297353CC}">
              <c16:uniqueId val="{00000001-1594-4970-A4BA-CBC337DEB626}"/>
            </c:ext>
          </c:extLst>
        </c:ser>
        <c:ser>
          <c:idx val="1"/>
          <c:order val="1"/>
          <c:tx>
            <c:strRef>
              <c:f>'Yield Curve'!$Q$2</c:f>
              <c:strCache>
                <c:ptCount val="1"/>
                <c:pt idx="0">
                  <c:v>Jun-20</c:v>
                </c:pt>
              </c:strCache>
            </c:strRef>
          </c:tx>
          <c:spPr>
            <a:ln w="28575" cap="rnd">
              <a:solidFill>
                <a:schemeClr val="accent4"/>
              </a:solidFill>
              <a:round/>
            </a:ln>
            <a:effectLst/>
          </c:spPr>
          <c:marker>
            <c:symbol val="none"/>
          </c:marker>
          <c:cat>
            <c:strRef>
              <c:f>'Yield Curve'!$O$3:$O$10</c:f>
              <c:strCache>
                <c:ptCount val="8"/>
                <c:pt idx="0">
                  <c:v>91 day</c:v>
                </c:pt>
                <c:pt idx="1">
                  <c:v>182 day</c:v>
                </c:pt>
                <c:pt idx="2">
                  <c:v>364 day </c:v>
                </c:pt>
                <c:pt idx="3">
                  <c:v> 2 year </c:v>
                </c:pt>
                <c:pt idx="4">
                  <c:v>3 year </c:v>
                </c:pt>
                <c:pt idx="5">
                  <c:v>5 year </c:v>
                </c:pt>
                <c:pt idx="6">
                  <c:v>7 year </c:v>
                </c:pt>
                <c:pt idx="7">
                  <c:v>10 year</c:v>
                </c:pt>
              </c:strCache>
            </c:strRef>
          </c:cat>
          <c:val>
            <c:numRef>
              <c:f>'Yield Curve'!$Q$3:$Q$10</c:f>
              <c:numCache>
                <c:formatCode>General</c:formatCode>
                <c:ptCount val="8"/>
                <c:pt idx="0">
                  <c:v>7.57</c:v>
                </c:pt>
                <c:pt idx="1">
                  <c:v>10.9</c:v>
                </c:pt>
                <c:pt idx="2">
                  <c:v>13.09</c:v>
                </c:pt>
                <c:pt idx="3">
                  <c:v>14.75</c:v>
                </c:pt>
                <c:pt idx="4">
                  <c:v>16.75</c:v>
                </c:pt>
                <c:pt idx="5">
                  <c:v>18.16</c:v>
                </c:pt>
                <c:pt idx="6">
                  <c:v>19.91</c:v>
                </c:pt>
                <c:pt idx="7">
                  <c:v>21.7</c:v>
                </c:pt>
              </c:numCache>
            </c:numRef>
          </c:val>
          <c:smooth val="0"/>
          <c:extLst>
            <c:ext xmlns:c16="http://schemas.microsoft.com/office/drawing/2014/chart" uri="{C3380CC4-5D6E-409C-BE32-E72D297353CC}">
              <c16:uniqueId val="{00000002-1594-4970-A4BA-CBC337DEB626}"/>
            </c:ext>
          </c:extLst>
        </c:ser>
        <c:dLbls>
          <c:showLegendKey val="0"/>
          <c:showVal val="0"/>
          <c:showCatName val="0"/>
          <c:showSerName val="0"/>
          <c:showPercent val="0"/>
          <c:showBubbleSize val="0"/>
        </c:dLbls>
        <c:marker val="1"/>
        <c:smooth val="0"/>
        <c:axId val="401702440"/>
        <c:axId val="401702832"/>
      </c:lineChart>
      <c:catAx>
        <c:axId val="401702440"/>
        <c:scaling>
          <c:orientation val="minMax"/>
        </c:scaling>
        <c:delete val="0"/>
        <c:axPos val="b"/>
        <c:numFmt formatCode="General" sourceLinked="1"/>
        <c:majorTickMark val="none"/>
        <c:minorTickMark val="none"/>
        <c:tickLblPos val="nextTo"/>
        <c:spPr>
          <a:noFill/>
          <a:ln w="9525" cap="flat" cmpd="sng" algn="ctr">
            <a:solidFill>
              <a:srgbClr val="B3B3B3"/>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Bookman Old Style" panose="02050604050505020204" pitchFamily="18" charset="0"/>
                <a:ea typeface="+mn-ea"/>
                <a:cs typeface="+mn-cs"/>
              </a:defRPr>
            </a:pPr>
            <a:endParaRPr lang="en-US"/>
          </a:p>
        </c:txPr>
        <c:crossAx val="401702832"/>
        <c:crosses val="autoZero"/>
        <c:auto val="1"/>
        <c:lblAlgn val="ctr"/>
        <c:lblOffset val="100"/>
        <c:noMultiLvlLbl val="0"/>
      </c:catAx>
      <c:valAx>
        <c:axId val="4017028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r>
                  <a:rPr lang="en-GB">
                    <a:latin typeface="Bookman Old Style" panose="02050604050505020204" pitchFamily="18" charset="0"/>
                  </a:rPr>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702440"/>
        <c:crosses val="autoZero"/>
        <c:crossBetween val="between"/>
      </c:valAx>
      <c:valAx>
        <c:axId val="356375872"/>
        <c:scaling>
          <c:orientation val="minMax"/>
          <c:max val="25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r>
                  <a:rPr lang="en-GB">
                    <a:latin typeface="Bookman Old Style" panose="02050604050505020204" pitchFamily="18" charset="0"/>
                  </a:rPr>
                  <a:t>basis points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376264"/>
        <c:crosses val="max"/>
        <c:crossBetween val="between"/>
      </c:valAx>
      <c:catAx>
        <c:axId val="356376264"/>
        <c:scaling>
          <c:orientation val="minMax"/>
        </c:scaling>
        <c:delete val="1"/>
        <c:axPos val="b"/>
        <c:numFmt formatCode="General" sourceLinked="1"/>
        <c:majorTickMark val="none"/>
        <c:minorTickMark val="none"/>
        <c:tickLblPos val="nextTo"/>
        <c:crossAx val="35637587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8A-449F-A856-D12D6C42D6CD}"/>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A8A-449F-A856-D12D6C42D6CD}"/>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A8A-449F-A856-D12D6C42D6CD}"/>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A8A-449F-A856-D12D6C42D6CD}"/>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A8A-449F-A856-D12D6C42D6C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Bookman Old Style" panose="02050604050505020204"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'Aggregation by currency'!$Q$50:$Q$54</c:f>
              <c:strCache>
                <c:ptCount val="5"/>
                <c:pt idx="0">
                  <c:v>XDR</c:v>
                </c:pt>
                <c:pt idx="1">
                  <c:v>EUR</c:v>
                </c:pt>
                <c:pt idx="2">
                  <c:v>USD</c:v>
                </c:pt>
                <c:pt idx="3">
                  <c:v>CNY</c:v>
                </c:pt>
                <c:pt idx="4">
                  <c:v>Other</c:v>
                </c:pt>
              </c:strCache>
            </c:strRef>
          </c:cat>
          <c:val>
            <c:numRef>
              <c:f>'Aggregation by currency'!$R$50:$R$54</c:f>
              <c:numCache>
                <c:formatCode>_(* #,##0.00_);_(* \(#,##0.00\);_(* "-"??_);_(@_)</c:formatCode>
                <c:ptCount val="5"/>
                <c:pt idx="0">
                  <c:v>1656625057.7862344</c:v>
                </c:pt>
                <c:pt idx="1">
                  <c:v>169679263.92932442</c:v>
                </c:pt>
                <c:pt idx="2">
                  <c:v>473705115.63263315</c:v>
                </c:pt>
                <c:pt idx="3">
                  <c:v>233743789.67592147</c:v>
                </c:pt>
                <c:pt idx="4">
                  <c:v>229875374.08283418</c:v>
                </c:pt>
              </c:numCache>
            </c:numRef>
          </c:val>
          <c:extLst>
            <c:ext xmlns:c16="http://schemas.microsoft.com/office/drawing/2014/chart" uri="{C3380CC4-5D6E-409C-BE32-E72D297353CC}">
              <c16:uniqueId val="{0000000A-9A8A-449F-A856-D12D6C42D6CD}"/>
            </c:ext>
          </c:extLst>
        </c:ser>
        <c:dLbls>
          <c:showLegendKey val="0"/>
          <c:showVal val="0"/>
          <c:showCatName val="1"/>
          <c:showSerName val="0"/>
          <c:showPercent val="1"/>
          <c:showBubbleSize val="0"/>
          <c:showLeaderLines val="1"/>
        </c:dLbls>
        <c:firstSliceAng val="0"/>
        <c:holeSize val="6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25E-43D0-A513-A199A1023529}"/>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25E-43D0-A513-A199A1023529}"/>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25E-43D0-A513-A199A1023529}"/>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25E-43D0-A513-A199A102352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Bookman Old Style" panose="02050604050505020204"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'Aggregation by currency'!$W$50:$W$53</c:f>
              <c:strCache>
                <c:ptCount val="4"/>
                <c:pt idx="0">
                  <c:v>USD</c:v>
                </c:pt>
                <c:pt idx="1">
                  <c:v>EUR</c:v>
                </c:pt>
                <c:pt idx="2">
                  <c:v>CNY</c:v>
                </c:pt>
                <c:pt idx="3">
                  <c:v>Other</c:v>
                </c:pt>
              </c:strCache>
            </c:strRef>
          </c:cat>
          <c:val>
            <c:numRef>
              <c:f>'Aggregation by currency'!$X$50:$X$53</c:f>
              <c:numCache>
                <c:formatCode>General</c:formatCode>
                <c:ptCount val="4"/>
                <c:pt idx="0">
                  <c:v>1165014752.246829</c:v>
                </c:pt>
                <c:pt idx="1">
                  <c:v>682073394.30260658</c:v>
                </c:pt>
                <c:pt idx="2">
                  <c:v>371740656.98951477</c:v>
                </c:pt>
                <c:pt idx="3">
                  <c:v>544799797.56799746</c:v>
                </c:pt>
              </c:numCache>
            </c:numRef>
          </c:val>
          <c:extLst>
            <c:ext xmlns:c16="http://schemas.microsoft.com/office/drawing/2014/chart" uri="{C3380CC4-5D6E-409C-BE32-E72D297353CC}">
              <c16:uniqueId val="{00000008-325E-43D0-A513-A199A1023529}"/>
            </c:ext>
          </c:extLst>
        </c:ser>
        <c:dLbls>
          <c:showLegendKey val="0"/>
          <c:showVal val="0"/>
          <c:showCatName val="1"/>
          <c:showSerName val="0"/>
          <c:showPercent val="1"/>
          <c:showBubbleSize val="0"/>
          <c:showLeaderLines val="1"/>
        </c:dLbls>
        <c:firstSliceAng val="0"/>
        <c:holeSize val="66"/>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'Holder and Type'!$W$67</c:f>
              <c:strCache>
                <c:ptCount val="1"/>
                <c:pt idx="0">
                  <c:v>Jun-21</c:v>
                </c:pt>
              </c:strCache>
            </c:strRef>
          </c:tx>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'Holder and Type'!$V$68:$V$70</c:f>
              <c:strCache>
                <c:ptCount val="3"/>
                <c:pt idx="0">
                  <c:v> T-bills</c:v>
                </c:pt>
                <c:pt idx="1">
                  <c:v> T- Notes</c:v>
                </c:pt>
                <c:pt idx="2">
                  <c:v> P-Notes</c:v>
                </c:pt>
              </c:strCache>
            </c:strRef>
          </c:cat>
          <c:val>
            <c:numRef>
              <c:f>'Holder and Type'!$W$68:$W$70</c:f>
              <c:numCache>
                <c:formatCode>0</c:formatCode>
                <c:ptCount val="3"/>
                <c:pt idx="0">
                  <c:v>346.19569100000007</c:v>
                </c:pt>
                <c:pt idx="1">
                  <c:v>2099.5164500000005</c:v>
                </c:pt>
                <c:pt idx="2">
                  <c:v>119.7570746761</c:v>
                </c:pt>
              </c:numCache>
            </c:numRef>
          </c:val>
          <c:extLst>
            <c:ext xmlns:c16="http://schemas.microsoft.com/office/drawing/2014/chart" uri="{C3380CC4-5D6E-409C-BE32-E72D297353CC}">
              <c16:uniqueId val="{00000000-FF83-493B-9CCA-F89DB896A9A1}"/>
            </c:ext>
          </c:extLst>
        </c:ser>
        <c:ser>
          <c:idx val="1"/>
          <c:order val="1"/>
          <c:tx>
            <c:strRef>
              <c:f>'Holder and Type'!$X$67</c:f>
              <c:strCache>
                <c:ptCount val="1"/>
                <c:pt idx="0">
                  <c:v>Jun-20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'Holder and Type'!$V$68:$V$70</c:f>
              <c:strCache>
                <c:ptCount val="3"/>
                <c:pt idx="0">
                  <c:v> T-bills</c:v>
                </c:pt>
                <c:pt idx="1">
                  <c:v> T- Notes</c:v>
                </c:pt>
                <c:pt idx="2">
                  <c:v> P-Notes</c:v>
                </c:pt>
              </c:strCache>
            </c:strRef>
          </c:cat>
          <c:val>
            <c:numRef>
              <c:f>'Holder and Type'!$X$68:$X$70</c:f>
              <c:numCache>
                <c:formatCode>0</c:formatCode>
                <c:ptCount val="3"/>
                <c:pt idx="0">
                  <c:v>251.804484</c:v>
                </c:pt>
                <c:pt idx="1">
                  <c:v>1536.9067849999999</c:v>
                </c:pt>
                <c:pt idx="2">
                  <c:v>12</c:v>
                </c:pt>
              </c:numCache>
            </c:numRef>
          </c:val>
          <c:extLst>
            <c:ext xmlns:c16="http://schemas.microsoft.com/office/drawing/2014/chart" uri="{C3380CC4-5D6E-409C-BE32-E72D297353CC}">
              <c16:uniqueId val="{00000001-FF83-493B-9CCA-F89DB896A9A1}"/>
            </c:ext>
          </c:extLst>
        </c:ser>
        <c:dLbls>
          <c:showLegendKey val="0"/>
          <c:showVal val="0"/>
          <c:showCatName val="0"/>
          <c:showSerName val="0"/>
          <c:showPercent val="0"/>
          <c:showBubbleSize val="0"/>
        </c:dLbls>
        <c:gapWidth val="115"/>
        <c:overlap val="-20"/>
        <c:axId val="2035938064"/>
        <c:axId val="2035945136"/>
      </c:barChart>
      <c:catAx>
        <c:axId val="20359380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2035945136"/>
        <c:crosses val="autoZero"/>
        <c:auto val="1"/>
        <c:lblAlgn val="ctr"/>
        <c:lblOffset val="100"/>
        <c:noMultiLvlLbl val="0"/>
      </c:catAx>
      <c:valAx>
        <c:axId val="2035945136"/>
        <c:scaling>
          <c:orientation val="minMax"/>
          <c:max val="2200"/>
          <c:min val="0"/>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2035938064"/>
        <c:crosses val="autoZero"/>
        <c:crossBetween val="between"/>
        <c:majorUnit val="3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'Holder and Type'!$S$3</c:f>
              <c:strCache>
                <c:ptCount val="1"/>
                <c:pt idx="0">
                  <c:v>Jun-21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'Holder and Type'!$M$4:$M$13</c:f>
              <c:strCache>
                <c:ptCount val="10"/>
                <c:pt idx="0">
                  <c:v>   Reserve Bank of Malawi</c:v>
                </c:pt>
                <c:pt idx="1">
                  <c:v>   Commercial Banks</c:v>
                </c:pt>
                <c:pt idx="2">
                  <c:v>   Other Financial Institutions</c:v>
                </c:pt>
                <c:pt idx="3">
                  <c:v>   Discount Houses</c:v>
                </c:pt>
                <c:pt idx="4">
                  <c:v>   Pension Funds</c:v>
                </c:pt>
                <c:pt idx="5">
                  <c:v>   Insurance companies</c:v>
                </c:pt>
                <c:pt idx="6">
                  <c:v>   Government/parastatals</c:v>
                </c:pt>
                <c:pt idx="7">
                  <c:v>   Corporate Sector</c:v>
                </c:pt>
                <c:pt idx="8">
                  <c:v>   Private Sector</c:v>
                </c:pt>
                <c:pt idx="9">
                  <c:v>   Households</c:v>
                </c:pt>
              </c:strCache>
            </c:strRef>
          </c:cat>
          <c:val>
            <c:numRef>
              <c:f>'Holder and Type'!$S$4:$S$13</c:f>
              <c:numCache>
                <c:formatCode>0</c:formatCode>
                <c:ptCount val="10"/>
                <c:pt idx="0">
                  <c:v>628.64344700000004</c:v>
                </c:pt>
                <c:pt idx="1">
                  <c:v>1357.7354353640701</c:v>
                </c:pt>
                <c:pt idx="2">
                  <c:v>5.2749420000000002</c:v>
                </c:pt>
                <c:pt idx="3">
                  <c:v>126.086113</c:v>
                </c:pt>
                <c:pt idx="4">
                  <c:v>120.39902099999999</c:v>
                </c:pt>
                <c:pt idx="5">
                  <c:v>250.56817999999998</c:v>
                </c:pt>
                <c:pt idx="6">
                  <c:v>0.51244000000000001</c:v>
                </c:pt>
                <c:pt idx="7">
                  <c:v>23.294091312029998</c:v>
                </c:pt>
                <c:pt idx="8">
                  <c:v>48.319662999999998</c:v>
                </c:pt>
                <c:pt idx="9">
                  <c:v>4.6358829999999998</c:v>
                </c:pt>
              </c:numCache>
            </c:numRef>
          </c:val>
          <c:extLst>
            <c:ext xmlns:c16="http://schemas.microsoft.com/office/drawing/2014/chart" uri="{C3380CC4-5D6E-409C-BE32-E72D297353CC}">
              <c16:uniqueId val="{00000000-2EEF-4AE8-8D7F-6088456C3ED6}"/>
            </c:ext>
          </c:extLst>
        </c:ser>
        <c:ser>
          <c:idx val="1"/>
          <c:order val="1"/>
          <c:tx>
            <c:strRef>
              <c:f>'Holder and Type'!$R$3</c:f>
              <c:strCache>
                <c:ptCount val="1"/>
                <c:pt idx="0">
                  <c:v>Jun-20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'Holder and Type'!$R$4:$R$13</c:f>
              <c:numCache>
                <c:formatCode>0</c:formatCode>
                <c:ptCount val="10"/>
                <c:pt idx="0">
                  <c:v>621.29950699999995</c:v>
                </c:pt>
                <c:pt idx="1">
                  <c:v>798.98346100000003</c:v>
                </c:pt>
                <c:pt idx="2">
                  <c:v>2.9334039999999999</c:v>
                </c:pt>
                <c:pt idx="3">
                  <c:v>29.7</c:v>
                </c:pt>
                <c:pt idx="4">
                  <c:v>91.709924999999998</c:v>
                </c:pt>
                <c:pt idx="5">
                  <c:v>210.38185900000002</c:v>
                </c:pt>
                <c:pt idx="6">
                  <c:v>0</c:v>
                </c:pt>
                <c:pt idx="7">
                  <c:v>12.658402000000001</c:v>
                </c:pt>
                <c:pt idx="8">
                  <c:v>32.104973999999999</c:v>
                </c:pt>
                <c:pt idx="9">
                  <c:v>0.93973700000000004</c:v>
                </c:pt>
              </c:numCache>
            </c:numRef>
          </c:val>
          <c:extLst>
            <c:ext xmlns:c16="http://schemas.microsoft.com/office/drawing/2014/chart" uri="{C3380CC4-5D6E-409C-BE32-E72D297353CC}">
              <c16:uniqueId val="{00000001-2EEF-4AE8-8D7F-6088456C3ED6}"/>
            </c:ext>
          </c:extLst>
        </c:ser>
        <c:dLbls>
          <c:showLegendKey val="0"/>
          <c:showVal val="0"/>
          <c:showCatName val="0"/>
          <c:showSerName val="0"/>
          <c:showPercent val="0"/>
          <c:showBubbleSize val="0"/>
        </c:dLbls>
        <c:gapWidth val="0"/>
        <c:overlap val="-20"/>
        <c:axId val="417550223"/>
        <c:axId val="417534831"/>
      </c:barChart>
      <c:valAx>
        <c:axId val="417534831"/>
        <c:scaling>
          <c:orientation val="minMax"/>
          <c:max val="1400"/>
          <c:min val="0"/>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550223"/>
        <c:crosses val="autoZero"/>
        <c:crossBetween val="between"/>
        <c:majorUnit val="300"/>
      </c:valAx>
      <c:catAx>
        <c:axId val="417550223"/>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534831"/>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896200474940646E-2"/>
          <c:y val="6.368901002759271E-2"/>
          <c:w val="0.87952335294183293"/>
          <c:h val="0.7796377470180883"/>
        </c:manualLayout>
      </c:layout>
      <c:barChart>
        <c:barDir val="col"/>
        <c:grouping val="stacked"/>
        <c:varyColors val="0"/>
        <c:ser>
          <c:idx val="0"/>
          <c:order val="0"/>
          <c:tx>
            <c:v>External</c:v>
          </c:tx>
          <c:spPr>
            <a:solidFill>
              <a:schemeClr val="accent2"/>
            </a:solidFill>
            <a:ln>
              <a:noFill/>
            </a:ln>
            <a:effectLst/>
          </c:spPr>
          <c:invertIfNegative val="0"/>
          <c:cat>
            <c:numRef>
              <c:f>Existing_Debt!$F$445:$Y$445</c:f>
              <c:numCache>
                <c:formatCode>General</c:formatCode>
                <c:ptCount val="20"/>
                <c:pt idx="0">
                  <c:v>2021</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numCache>
            </c:numRef>
          </c:cat>
          <c:val>
            <c:numRef>
              <c:f>Existing_Debt!$F$454:$Y$454</c:f>
              <c:numCache>
                <c:formatCode>#,##0_);[Red]\(#,##0\)</c:formatCode>
                <c:ptCount val="20"/>
                <c:pt idx="0">
                  <c:v>128315.81744940525</c:v>
                </c:pt>
                <c:pt idx="1">
                  <c:v>132211.5728331666</c:v>
                </c:pt>
                <c:pt idx="2">
                  <c:v>129209.06564785261</c:v>
                </c:pt>
                <c:pt idx="3">
                  <c:v>85675.961333835134</c:v>
                </c:pt>
                <c:pt idx="4">
                  <c:v>81365.615320912548</c:v>
                </c:pt>
                <c:pt idx="5">
                  <c:v>87143.552360477275</c:v>
                </c:pt>
                <c:pt idx="6">
                  <c:v>89882.828554052699</c:v>
                </c:pt>
                <c:pt idx="7">
                  <c:v>91611.915925906316</c:v>
                </c:pt>
                <c:pt idx="8">
                  <c:v>89938.546804622645</c:v>
                </c:pt>
                <c:pt idx="9">
                  <c:v>84342.903474117469</c:v>
                </c:pt>
                <c:pt idx="10">
                  <c:v>76650.082090057927</c:v>
                </c:pt>
                <c:pt idx="11">
                  <c:v>78686.594108537203</c:v>
                </c:pt>
                <c:pt idx="12">
                  <c:v>69488.833949894994</c:v>
                </c:pt>
                <c:pt idx="13">
                  <c:v>70076.45257573553</c:v>
                </c:pt>
                <c:pt idx="14">
                  <c:v>69526.362459062351</c:v>
                </c:pt>
                <c:pt idx="15">
                  <c:v>66692.106297210907</c:v>
                </c:pt>
                <c:pt idx="16">
                  <c:v>66186.613465926202</c:v>
                </c:pt>
                <c:pt idx="17">
                  <c:v>64148.746757471046</c:v>
                </c:pt>
                <c:pt idx="18">
                  <c:v>62525.660136835046</c:v>
                </c:pt>
                <c:pt idx="19">
                  <c:v>58585.128924629251</c:v>
                </c:pt>
              </c:numCache>
            </c:numRef>
          </c:val>
          <c:extLst>
            <c:ext xmlns:c16="http://schemas.microsoft.com/office/drawing/2014/chart" uri="{C3380CC4-5D6E-409C-BE32-E72D297353CC}">
              <c16:uniqueId val="{00000000-BBBA-4ACC-8B91-986373F56244}"/>
            </c:ext>
          </c:extLst>
        </c:ser>
        <c:ser>
          <c:idx val="2"/>
          <c:order val="1"/>
          <c:tx>
            <c:v>Domestic</c:v>
          </c:tx>
          <c:spPr>
            <a:solidFill>
              <a:schemeClr val="accent6"/>
            </a:solidFill>
            <a:ln>
              <a:noFill/>
            </a:ln>
            <a:effectLst/>
          </c:spPr>
          <c:invertIfNegative val="0"/>
          <c:cat>
            <c:numRef>
              <c:f>Existing_Debt!$F$445:$Y$445</c:f>
              <c:numCache>
                <c:formatCode>General</c:formatCode>
                <c:ptCount val="20"/>
                <c:pt idx="0">
                  <c:v>2021</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numCache>
            </c:numRef>
          </c:cat>
          <c:val>
            <c:numRef>
              <c:f>Existing_Debt!$F$455:$Y$455</c:f>
              <c:numCache>
                <c:formatCode>#,##0_);[Red]\(#,##0\)</c:formatCode>
                <c:ptCount val="20"/>
                <c:pt idx="0">
                  <c:v>692574.32853106002</c:v>
                </c:pt>
                <c:pt idx="1">
                  <c:v>543028.42039129999</c:v>
                </c:pt>
                <c:pt idx="2">
                  <c:v>380726.56207196001</c:v>
                </c:pt>
                <c:pt idx="3">
                  <c:v>175707.80757798001</c:v>
                </c:pt>
                <c:pt idx="4">
                  <c:v>422185.13553703995</c:v>
                </c:pt>
                <c:pt idx="5">
                  <c:v>124357.34596157003</c:v>
                </c:pt>
                <c:pt idx="6">
                  <c:v>102550.78823311</c:v>
                </c:pt>
                <c:pt idx="7">
                  <c:v>0</c:v>
                </c:pt>
                <c:pt idx="8">
                  <c:v>22280.874007400002</c:v>
                </c:pt>
                <c:pt idx="9">
                  <c:v>79004.749801430007</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1-BBBA-4ACC-8B91-986373F56244}"/>
            </c:ext>
          </c:extLst>
        </c:ser>
        <c:dLbls>
          <c:showLegendKey val="0"/>
          <c:showVal val="0"/>
          <c:showCatName val="0"/>
          <c:showSerName val="0"/>
          <c:showPercent val="0"/>
          <c:showBubbleSize val="0"/>
        </c:dLbls>
        <c:gapWidth val="40"/>
        <c:overlap val="100"/>
        <c:axId val="413669880"/>
        <c:axId val="413670272"/>
      </c:barChart>
      <c:catAx>
        <c:axId val="413669880"/>
        <c:scaling>
          <c:orientation val="minMax"/>
        </c:scaling>
        <c:delete val="0"/>
        <c:axPos val="b"/>
        <c:numFmt formatCode="General" sourceLinked="1"/>
        <c:majorTickMark val="in"/>
        <c:minorTickMark val="none"/>
        <c:tickLblPos val="nextTo"/>
        <c:spPr>
          <a:noFill/>
          <a:ln w="3175" cap="flat" cmpd="sng" algn="ctr">
            <a:solidFill>
              <a:srgbClr val="B3B3B3"/>
            </a:solidFill>
            <a:prstDash val="solid"/>
            <a:round/>
          </a:ln>
          <a:effectLst/>
        </c:spPr>
        <c:txPr>
          <a:bodyPr rot="-5400000" spcFirstLastPara="1" vertOverflow="ellipsis" wrap="square" anchor="ctr" anchorCtr="1"/>
          <a:lstStyle/>
          <a:p>
            <a:pPr>
              <a:defRPr sz="1000" b="0" i="0" u="none" strike="noStrike" kern="1200" baseline="0">
                <a:solidFill>
                  <a:srgbClr val="000000"/>
                </a:solidFill>
                <a:latin typeface="Bookman Old Style" panose="02050604050505020204" pitchFamily="18" charset="0"/>
                <a:ea typeface="Segoe UI"/>
                <a:cs typeface="Segoe UI"/>
              </a:defRPr>
            </a:pPr>
            <a:endParaRPr lang="en-US"/>
          </a:p>
        </c:txPr>
        <c:crossAx val="413670272"/>
        <c:crosses val="autoZero"/>
        <c:auto val="1"/>
        <c:lblAlgn val="ctr"/>
        <c:lblOffset val="100"/>
        <c:noMultiLvlLbl val="0"/>
      </c:catAx>
      <c:valAx>
        <c:axId val="413670272"/>
        <c:scaling>
          <c:orientation val="minMax"/>
        </c:scaling>
        <c:delete val="0"/>
        <c:axPos val="l"/>
        <c:numFmt formatCode="#,##0" sourceLinked="0"/>
        <c:majorTickMark val="in"/>
        <c:minorTickMark val="none"/>
        <c:tickLblPos val="nextTo"/>
        <c:spPr>
          <a:noFill/>
          <a:ln w="3175" cap="flat" cmpd="sng" algn="ctr">
            <a:solidFill>
              <a:srgbClr val="B3B3B3"/>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Bookman Old Style" panose="02050604050505020204" pitchFamily="18" charset="0"/>
                <a:ea typeface="Segoe UI"/>
                <a:cs typeface="Segoe UI"/>
              </a:defRPr>
            </a:pPr>
            <a:endParaRPr lang="en-US"/>
          </a:p>
        </c:txPr>
        <c:crossAx val="413669880"/>
        <c:crosses val="autoZero"/>
        <c:crossBetween val="between"/>
      </c:valAx>
      <c:spPr>
        <a:solidFill>
          <a:srgbClr val="FFFFFF"/>
        </a:solidFill>
        <a:ln w="3175">
          <a:noFill/>
          <a:prstDash val="solid"/>
        </a:ln>
        <a:effectLst/>
      </c:spPr>
    </c:plotArea>
    <c:legend>
      <c:legendPos val="r"/>
      <c:layout>
        <c:manualLayout>
          <c:xMode val="edge"/>
          <c:yMode val="edge"/>
          <c:x val="0.41567292655491234"/>
          <c:y val="5.9672009844530416E-2"/>
          <c:w val="0.24568883919997808"/>
          <c:h val="7.5323526336531749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Bookman Old Style" panose="02050604050505020204" pitchFamily="18" charset="0"/>
              <a:ea typeface="Segoe UI"/>
              <a:cs typeface="Segoe UI"/>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Arial" panose="020B0604020202020204" pitchFamily="34" charset="0"/>
          <a:ea typeface="Calibri"/>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0.01518</cdr:x>
      <cdr:y>0.03459</cdr:y>
    </cdr:from>
    <cdr:to>
      <cdr:x>0.23585</cdr:x>
      <cdr:y>0.10784</cdr:y>
    </cdr:to>
    <cdr:sp macro="" textlink="">
      <cdr:nvSpPr>
        <cdr:cNvPr id="2" name="TextBox 1"/>
        <cdr:cNvSpPr txBox="1"/>
      </cdr:nvSpPr>
      <cdr:spPr>
        <a:xfrm xmlns:a="http://schemas.openxmlformats.org/drawingml/2006/main">
          <a:off x="85821" y="80647"/>
          <a:ext cx="1247680" cy="17081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Segoe UI" pitchFamily="34" charset="0"/>
              <a:cs typeface="Segoe UI" pitchFamily="34" charset="0"/>
            </a:rPr>
            <a:t>(in MK</a:t>
          </a:r>
          <a:r>
            <a:rPr lang="en-US" sz="1000" baseline="0">
              <a:latin typeface="Segoe UI" pitchFamily="34" charset="0"/>
              <a:cs typeface="Segoe UI" pitchFamily="34" charset="0"/>
            </a:rPr>
            <a:t> Million</a:t>
          </a:r>
          <a:r>
            <a:rPr lang="en-US" sz="1000">
              <a:latin typeface="Segoe UI" pitchFamily="34" charset="0"/>
              <a:cs typeface="Segoe UI"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0.00611</cdr:x>
      <cdr:y>0.01199</cdr:y>
    </cdr:from>
    <cdr:to>
      <cdr:x>0.25603</cdr:x>
      <cdr:y>0.17479</cdr:y>
    </cdr:to>
    <cdr:sp macro="" textlink="">
      <cdr:nvSpPr>
        <cdr:cNvPr id="3" name="TextBox 1"/>
        <cdr:cNvSpPr txBox="1"/>
      </cdr:nvSpPr>
      <cdr:spPr>
        <a:xfrm xmlns:a="http://schemas.openxmlformats.org/drawingml/2006/main">
          <a:off x="35020" y="29846"/>
          <a:ext cx="1432445" cy="40523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Bookman Old Style" panose="02050604050505020204" pitchFamily="18" charset="0"/>
              <a:cs typeface="Segoe UI" pitchFamily="34" charset="0"/>
            </a:rPr>
            <a:t>Debt-Creating Flows</a:t>
          </a:r>
        </a:p>
        <a:p xmlns:a="http://schemas.openxmlformats.org/drawingml/2006/main">
          <a:r>
            <a:rPr lang="en-US" sz="900">
              <a:latin typeface="Bookman Old Style" panose="02050604050505020204" pitchFamily="18" charset="0"/>
              <a:cs typeface="Segoe UI" pitchFamily="34" charset="0"/>
            </a:rPr>
            <a:t>(in percent of GDP</a:t>
          </a:r>
          <a:r>
            <a:rPr lang="en-US" sz="900">
              <a:latin typeface="Segoe UI" pitchFamily="34" charset="0"/>
              <a:cs typeface="Segoe UI" pitchFamily="34" charset="0"/>
            </a:rPr>
            <a:t>)</a:t>
          </a:r>
        </a:p>
      </cdr:txBody>
    </cdr:sp>
  </cdr:relSizeAnchor>
  <cdr:relSizeAnchor xmlns:cdr="http://schemas.openxmlformats.org/drawingml/2006/chartDrawing">
    <cdr:from>
      <cdr:x>0.00589</cdr:x>
      <cdr:y>0.01199</cdr:y>
    </cdr:from>
    <cdr:to>
      <cdr:x>0.32156</cdr:x>
      <cdr:y>0.14748</cdr:y>
    </cdr:to>
    <cdr:sp macro="" textlink="">
      <cdr:nvSpPr>
        <cdr:cNvPr id="18" name="TextBox 1"/>
        <cdr:cNvSpPr txBox="1"/>
      </cdr:nvSpPr>
      <cdr:spPr>
        <a:xfrm xmlns:a="http://schemas.openxmlformats.org/drawingml/2006/main">
          <a:off x="33759" y="34452"/>
          <a:ext cx="1809254" cy="38931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900">
            <a:latin typeface="Bookman Old Style" panose="02050604050505020204" pitchFamily="18" charset="0"/>
            <a:cs typeface="Segoe UI" pitchFamily="34" charset="0"/>
          </a:endParaRPr>
        </a:p>
        <a:p xmlns:a="http://schemas.openxmlformats.org/drawingml/2006/main">
          <a:r>
            <a:rPr lang="en-US" sz="900">
              <a:latin typeface="Bookman Old Style" panose="02050604050505020204" pitchFamily="18" charset="0"/>
              <a:cs typeface="Segoe UI" pitchFamily="34" charset="0"/>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0.01489</cdr:x>
      <cdr:y>0.02924</cdr:y>
    </cdr:from>
    <cdr:to>
      <cdr:x>0.24333</cdr:x>
      <cdr:y>0.11108</cdr:y>
    </cdr:to>
    <cdr:sp macro="" textlink="">
      <cdr:nvSpPr>
        <cdr:cNvPr id="2" name="TextBox 1"/>
        <cdr:cNvSpPr txBox="1"/>
      </cdr:nvSpPr>
      <cdr:spPr>
        <a:xfrm xmlns:a="http://schemas.openxmlformats.org/drawingml/2006/main">
          <a:off x="85796" y="66193"/>
          <a:ext cx="1316269" cy="185267"/>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Segoe UI" pitchFamily="34" charset="0"/>
              <a:cs typeface="Segoe UI" pitchFamily="34" charset="0"/>
            </a:rPr>
            <a:t>(</a:t>
          </a:r>
          <a:r>
            <a:rPr lang="en-US" sz="1000">
              <a:latin typeface="Bookman Old Style" panose="02050604050505020204" pitchFamily="18" charset="0"/>
              <a:cs typeface="Segoe UI" pitchFamily="34" charset="0"/>
            </a:rPr>
            <a:t>in percent of </a:t>
          </a:r>
          <a:r>
            <a:rPr lang="en-US" sz="1000" baseline="0">
              <a:latin typeface="Bookman Old Style" panose="02050604050505020204" pitchFamily="18" charset="0"/>
              <a:cs typeface="Segoe UI" pitchFamily="34" charset="0"/>
            </a:rPr>
            <a:t> Revenue</a:t>
          </a:r>
          <a:r>
            <a:rPr lang="en-US" sz="1000">
              <a:latin typeface="Bookman Old Style" panose="02050604050505020204" pitchFamily="18" charset="0"/>
              <a:cs typeface="Segoe UI" pitchFamily="34"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0.01668</cdr:x>
      <cdr:y>0.03472</cdr:y>
    </cdr:from>
    <cdr:to>
      <cdr:x>0.26567</cdr:x>
      <cdr:y>0.11917</cdr:y>
    </cdr:to>
    <cdr:sp macro="" textlink="">
      <cdr:nvSpPr>
        <cdr:cNvPr id="3" name="TextBox 1"/>
        <cdr:cNvSpPr txBox="1"/>
      </cdr:nvSpPr>
      <cdr:spPr>
        <a:xfrm xmlns:a="http://schemas.openxmlformats.org/drawingml/2006/main">
          <a:off x="95990" y="98425"/>
          <a:ext cx="1432410" cy="23938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Bookman Old Style" panose="02050604050505020204" pitchFamily="18" charset="0"/>
              <a:cs typeface="Segoe UI" pitchFamily="34" charset="0"/>
            </a:rPr>
            <a:t>(in MK</a:t>
          </a:r>
          <a:r>
            <a:rPr lang="en-US" sz="1000" baseline="0">
              <a:latin typeface="Bookman Old Style" panose="02050604050505020204" pitchFamily="18" charset="0"/>
              <a:cs typeface="Segoe UI" pitchFamily="34" charset="0"/>
            </a:rPr>
            <a:t> Million</a:t>
          </a:r>
          <a:r>
            <a:rPr lang="en-US" sz="1000">
              <a:latin typeface="Segoe UI" pitchFamily="34" charset="0"/>
              <a:cs typeface="Segoe UI" pitchFamily="34" charset="0"/>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0.02396</cdr:x>
      <cdr:y>0.04302</cdr:y>
    </cdr:from>
    <cdr:to>
      <cdr:x>0.25</cdr:x>
      <cdr:y>0.10973</cdr:y>
    </cdr:to>
    <cdr:sp macro="" textlink="">
      <cdr:nvSpPr>
        <cdr:cNvPr id="2" name="TextBox 1"/>
        <cdr:cNvSpPr txBox="1"/>
      </cdr:nvSpPr>
      <cdr:spPr>
        <a:xfrm xmlns:a="http://schemas.openxmlformats.org/drawingml/2006/main">
          <a:off x="136593" y="131458"/>
          <a:ext cx="1288347" cy="20382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Bookman Old Style" panose="02050604050505020204" pitchFamily="18" charset="0"/>
              <a:cs typeface="Segoe UI" pitchFamily="34" charset="0"/>
            </a:rPr>
            <a:t>(in MK</a:t>
          </a:r>
          <a:r>
            <a:rPr lang="en-US" sz="1000" baseline="0">
              <a:latin typeface="Bookman Old Style" panose="02050604050505020204" pitchFamily="18" charset="0"/>
              <a:cs typeface="Segoe UI" pitchFamily="34" charset="0"/>
            </a:rPr>
            <a:t> Million</a:t>
          </a:r>
          <a:r>
            <a:rPr lang="en-US" sz="1000">
              <a:latin typeface="Segoe UI" pitchFamily="34" charset="0"/>
              <a:cs typeface="Segoe UI" pitchFamily="34" charset="0"/>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0.13362</cdr:x>
      <cdr:y>4.02146E-7</cdr:y>
    </cdr:from>
    <cdr:to>
      <cdr:x>0.37924</cdr:x>
      <cdr:y>0.10725</cdr:y>
    </cdr:to>
    <cdr:sp macro="" textlink="">
      <cdr:nvSpPr>
        <cdr:cNvPr id="2" name="TextBox 1"/>
        <cdr:cNvSpPr txBox="1"/>
      </cdr:nvSpPr>
      <cdr:spPr>
        <a:xfrm xmlns:a="http://schemas.openxmlformats.org/drawingml/2006/main">
          <a:off x="779240" y="1"/>
          <a:ext cx="1432419" cy="26670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Segoe UI" pitchFamily="34" charset="0"/>
              <a:cs typeface="Segoe UI" pitchFamily="34" charset="0"/>
            </a:rPr>
            <a:t>(</a:t>
          </a:r>
          <a:r>
            <a:rPr lang="en-US" sz="1000">
              <a:latin typeface="Bookman Old Style" panose="02050604050505020204" pitchFamily="18" charset="0"/>
              <a:cs typeface="Segoe UI" pitchFamily="34" charset="0"/>
            </a:rPr>
            <a:t>in MK Million</a:t>
          </a:r>
          <a:r>
            <a:rPr lang="en-US" sz="1000">
              <a:latin typeface="Segoe UI" pitchFamily="34" charset="0"/>
              <a:cs typeface="Segoe UI" pitchFamily="34" charset="0"/>
            </a:rPr>
            <a:t>)</a:t>
          </a:r>
        </a:p>
      </cdr:txBody>
    </cdr:sp>
  </cdr:relSizeAnchor>
</c:userShape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60A4-9C21-4EE6-A13A-A5442B4A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5560</Words>
  <Characters>31697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dc:creator>
  <cp:keywords/>
  <dc:description/>
  <cp:lastModifiedBy>HP</cp:lastModifiedBy>
  <cp:revision>5</cp:revision>
  <cp:lastPrinted>2021-11-29T09:25:00Z</cp:lastPrinted>
  <dcterms:created xsi:type="dcterms:W3CDTF">2021-11-30T07:44:00Z</dcterms:created>
  <dcterms:modified xsi:type="dcterms:W3CDTF">2021-11-30T09:07:00Z</dcterms:modified>
</cp:coreProperties>
</file>